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03 – Eignungsanforderungen und Kriterienkatalog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Vorhabenbezeichnung:</w:t>
      </w:r>
      <w:r>
        <w:t xml:space="preserve"> LH-SN-Cyber-SOC-NSV-2026</w:t>
      </w:r>
    </w:p>
    <w:p>
      <w:pPr>
        <w:jc w:val="left"/>
      </w:pPr>
      <w:r>
        <w:rPr>
          <w:b/>
        </w:rPr>
        <w:t>Dokument-Typ:</w:t>
      </w:r>
      <w:r>
        <w:t xml:space="preserve"> Teil B Vergabeunterlagen – Eignungsanforderungen und Zuschlagskriterien</w:t>
      </w:r>
    </w:p>
    <w:p>
      <w:pPr>
        <w:jc w:val="left"/>
      </w:pPr>
      <w:r>
        <w:rPr>
          <w:b/>
        </w:rPr>
        <w:t>Version:</w:t>
      </w:r>
      <w:r>
        <w:t xml:space="preserve"> 1.0 vom 27.02.2026</w:t>
      </w:r>
    </w:p>
    <w:p/>
    <w:p>
      <w:pPr>
        <w:pStyle w:val="Heading2"/>
      </w:pPr>
      <w:r>
        <w:rPr>
          <w:rFonts w:ascii="Times New Roman" w:hAnsi="Times New Roman"/>
        </w:rPr>
        <w:t>Teil B: Eignungsanforderungen und Zuschlagskriterienkatalog</w:t>
      </w:r>
    </w:p>
    <w:p>
      <w:pPr>
        <w:pStyle w:val="Heading3"/>
      </w:pPr>
      <w:r>
        <w:rPr>
          <w:rFonts w:ascii="Times New Roman" w:hAnsi="Times New Roman"/>
        </w:rPr>
        <w:t>1. Eignungskriterien (Mindestanforderungen, KO-Kriterien)</w:t>
      </w:r>
    </w:p>
    <w:p>
      <w:pPr>
        <w:jc w:val="left"/>
      </w:pPr>
      <w:r>
        <w:t>Bieter, die die folgenden Mindestanforderungen nicht erfüllen, werden nach § 57 VgV von der Wertung ausgeschlossen.</w:t>
      </w:r>
    </w:p>
    <w:p>
      <w:pPr>
        <w:pStyle w:val="Heading3"/>
      </w:pPr>
      <w:r>
        <w:rPr>
          <w:rFonts w:ascii="Times New Roman" w:hAnsi="Times New Roman"/>
        </w:rPr>
        <w:t>1.1 Befähigung zur Berufsausübung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Mindestanforderung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Nachweis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Handelsregistereintrag (oder gleichwertig EU)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Beglaubigte Kopie, nicht älter als 6 Monate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Gewerbezulassung für IT-Sicherheitsdienstleistungen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Kopie Gewerbeanmeldung / IHK-Mitgliedschaft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Vorliegen von Ausschlussgründen § 123, 124 GWB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Eigenerklärung (Muster Anlage 3)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1.2 Wirtschaftliche und finanzielle Leistungsfähigkeit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Mindestanforderung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Nachweis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F-1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Jahresumsatz IT-Sicherheit / Managed Services ≥ 5 Mio. EUR in mind. 2 der letzten 3 Geschäftsjahre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Jahresabschlüsse oder Umsatzerklärung testiert durch Wirtschaftsprüfer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F-2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Berufshaftpflicht mind. 5 Mio. EUR je Schadensfall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Versicherungsnachweis, nicht älter als 3 Monate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F-3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Kreditwürdigkeit (kein Insolvenzverfahren, kein vorläufiger Insolvenzverwalter)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Aktuelle Auskunft Creditreform oder Schufa (Unternehmensbonitätsauskunft)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1.3 Technische und berufliche Leistungsfähigkeit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Mindestanforderung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Nachweis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T-1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Mindestens 3 Referenzaufträge über SOC-Managed-Service oder IT-Sicherheitsberatung in den letzten 5 Jahren (Laufzeit je mind. 12 Monate, Volumen je mind. 300.000 EUR netto)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Referenzblätter (Muster Anlage 4), bevorzugt mit Ansprechpartner Auftraggeber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T-2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Referenzauftraggeber: öffentliche Auftraggeber oder KRITIS-Betreiber; </w:t>
            </w:r>
            <w:r>
              <w:rPr>
                <w:rFonts w:ascii="Times New Roman" w:hAnsi="Times New Roman"/>
                <w:b/>
                <w:sz w:val="20"/>
              </w:rPr>
              <w:t>bevorzugt im Sektor Verkehr oder Energie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Angaben im Referenzblatt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T-3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Aktuelle ISO/IEC 27001-Zertifizierung des SOC-Betriebs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Kopie gültiges Zertifikat (nicht älter als 12 Monate)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T-4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Mindestens 2 Schlüsselpersonen mit Nachweis BSI-Grundschutz-Praktiker oder CISM oder CISSP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Lebensläufe + Zertifikatskopien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T-5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Nachweis 24/7/365-SOC-Betrieb seit mind. 24 Monaten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Eigenerklärung + Bestätigung Referenzauftraggeber</w:t>
            </w:r>
          </w:p>
        </w:tc>
      </w:tr>
    </w:tbl>
    <w:p>
      <w:pPr>
        <w:ind w:left="567"/>
      </w:pPr>
      <w:r>
        <w:rPr>
          <w:b/>
          <w:i/>
        </w:rPr>
        <w:t>Kritische Anmerkung (Vergabekammer-Relevanz):</w:t>
      </w:r>
      <w:r>
        <w:rPr>
          <w:i/>
        </w:rPr>
        <w:t xml:space="preserve"> Kriterium T-2 formuliert „bevorzugt im Sektor Verkehr oder Energie". Die Verwendung des Wortes „bevorzugt" begründet keine zwingende Mindestanforderung (KO-Kriterium), sondern allenfalls ein qualitatives Zuschlagskriterium. Ein Ausschluss wegen Fehlens von ÖPNV-Referenzen im Besonderen wäre daher rechtswidrig und verstieße gegen § 122 Abs. 4 GWB (Verhältnismäßigkeit der Eignungsanforderungen).</w:t>
      </w:r>
    </w:p>
    <w:p/>
    <w:p>
      <w:pPr>
        <w:pStyle w:val="Heading3"/>
      </w:pPr>
      <w:r>
        <w:rPr>
          <w:rFonts w:ascii="Times New Roman" w:hAnsi="Times New Roman"/>
        </w:rPr>
        <w:t>2. Zuschlagskriterien (Bewertungsmatrix)</w:t>
      </w:r>
    </w:p>
    <w:p>
      <w:pPr>
        <w:jc w:val="left"/>
      </w:pPr>
      <w:r>
        <w:t>Der Zuschlag wird auf das wirtschaftlich günstigste Angebot nach dem Preis-Leistungs-Verhältnis erteilt.</w:t>
      </w:r>
    </w:p>
    <w:p>
      <w:pPr>
        <w:pStyle w:val="Heading3"/>
      </w:pPr>
      <w:r>
        <w:rPr>
          <w:rFonts w:ascii="Times New Roman" w:hAnsi="Times New Roman"/>
        </w:rPr>
        <w:t>2.1 Übersicht Zuschlagskriterien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Gewichtung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Max. Punkte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ZK-1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Preis (Gesamtangebotspreis netto 4 Jahre)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ZK-2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Qualität SOC-Konzept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ZK-3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Reaktionszeiten und SLA-Qualität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ZK-4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Referenzen und sektorale Erfahrung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ZK-5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Datenschutz und ISMS-Konzept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Bewertungsmatrix ZK-1 (Preis)</w:t>
      </w:r>
    </w:p>
    <w:p>
      <w:pPr>
        <w:jc w:val="left"/>
      </w:pPr>
      <w:r>
        <w:t>Niedrigstes Angebot erhält 40 Punkte. Weitere Angebote:</w:t>
      </w:r>
    </w:p>
    <w:p>
      <w:pPr>
        <w:jc w:val="left"/>
      </w:pPr>
      <w:r>
        <w:t>Punkte = 40 × (Niedrigstsangebot / Angebotspreis)</w:t>
      </w:r>
    </w:p>
    <w:p>
      <w:pPr>
        <w:pStyle w:val="Heading3"/>
      </w:pPr>
      <w:r>
        <w:rPr>
          <w:rFonts w:ascii="Times New Roman" w:hAnsi="Times New Roman"/>
        </w:rPr>
        <w:t>2.3 Bewertungsmatrix ZK-2 (Qualität SOC-Konzept)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18–20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Exzellent: Konzept adressiert alle spezifischen NSV-Anforderungen (OT, Fahrzeugflotte, Leitstelle), übertrifft Mindestanforderungen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14–17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Gut: Konzept vollständig, geringfügige Lücken OT-Kompetenz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8–13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Ausreichend: Konzept vollständig für IT-Bereich, keine OT-Spezifika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0–7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Mangelhaft: Wesentliche Lücken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2.4 Bewertungsmatrix ZK-4 (Referenzen)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13–15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3+ Referenzen KRITIS-Betreiber, davon mind. 1 Sektor Verkehr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9–12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3+ Referenzen KRITIS-Betreiber (andere Sektoren) oder öffentliche Auftraggeber vergleichbarer Größe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5–8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 Referenzen, davon mind. 1 KRITIS oder öffentlicher Auftraggeber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0–4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Weniger als 2 verwertbare Referenzen</w:t>
            </w:r>
          </w:p>
        </w:tc>
      </w:tr>
    </w:tbl>
    <w:p>
      <w:pPr>
        <w:ind w:left="567"/>
      </w:pPr>
      <w:r>
        <w:rPr>
          <w:b/>
          <w:i/>
        </w:rPr>
        <w:t>Hinweis:</w:t>
      </w:r>
      <w:r>
        <w:rPr>
          <w:i/>
        </w:rPr>
        <w:t xml:space="preserve"> Die Skala ZK-4 differenziert bei KRITIS-Betreibern aller Sektoren (9–12 Punkte) gegenüber spezifisch ÖPNV-Referenzen (13–15 Punkte). Ein Ausschluss wegen Fehlens von ÖPNV-Referenzen ist danach nicht vorgesehen.</w:t>
      </w:r>
    </w:p>
    <w:p/>
    <w:p>
      <w:pPr>
        <w:pStyle w:val="Heading3"/>
      </w:pPr>
      <w:r>
        <w:rPr>
          <w:rFonts w:ascii="Times New Roman" w:hAnsi="Times New Roman"/>
        </w:rPr>
        <w:t>3. Wertungsreihenfolge und Informationspflichten</w:t>
      </w:r>
    </w:p>
    <w:p>
      <w:pPr>
        <w:pStyle w:val="ListBullet"/>
      </w:pPr>
      <w:r>
        <w:t>Formale Prüfung (Vollständigkeit, Fristen, Ausschlussgründe)</w:t>
      </w:r>
    </w:p>
    <w:p>
      <w:pPr>
        <w:pStyle w:val="ListBullet"/>
      </w:pPr>
      <w:r>
        <w:t>Eignungsprüfung (KO-Kriterien T-1 bis T-5, E-1 bis E-3, F-1 bis F-3)</w:t>
      </w:r>
    </w:p>
    <w:p>
      <w:pPr>
        <w:pStyle w:val="ListBullet"/>
      </w:pPr>
      <w:r>
        <w:t>Angebotsprüfung (Ungewöhnliche Preisabweichungen → Aufklärung § 60 VgV)</w:t>
      </w:r>
    </w:p>
    <w:p>
      <w:pPr>
        <w:pStyle w:val="ListBullet"/>
      </w:pPr>
      <w:r>
        <w:t>Wertung nach Zuschlagskriterien ZK-1 bis ZK-5</w:t>
      </w:r>
    </w:p>
    <w:p>
      <w:pPr>
        <w:pStyle w:val="ListBullet"/>
      </w:pPr>
      <w:r>
        <w:t>Information über beabsichtigten Zuschlag gem. § 134 GWB (15-Tage-Frist)</w:t>
      </w:r>
    </w:p>
    <w:p/>
    <w:p>
      <w:pPr>
        <w:jc w:val="left"/>
      </w:pPr>
      <w:r>
        <w:rPr>
          <w:i/>
        </w:rPr>
        <w:t>Dokument-Ende Teil 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