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10 – Stellungnahme Vergabestelle an Vergabekammer</w:t>
      </w:r>
    </w:p>
    <w:p>
      <w:pPr>
        <w:jc w:val="left"/>
      </w:pPr>
      <w:r>
        <w:rPr>
          <w:b/>
        </w:rPr>
        <w:t>Aktenzeichen:</w:t>
      </w:r>
      <w:r>
        <w:t xml:space="preserve"> VK 1-32/26</w:t>
      </w:r>
    </w:p>
    <w:p>
      <w:pPr>
        <w:jc w:val="left"/>
      </w:pPr>
      <w:r>
        <w:rPr>
          <w:b/>
        </w:rPr>
        <w:t>Vorhabenbezeichnung:</w:t>
      </w:r>
      <w:r>
        <w:t xml:space="preserve"> LH-SN-Cyber-SOC-NSV-2026</w:t>
      </w:r>
    </w:p>
    <w:p>
      <w:pPr>
        <w:jc w:val="left"/>
      </w:pPr>
      <w:r>
        <w:rPr>
          <w:b/>
        </w:rPr>
        <w:t>Von:</w:t>
      </w:r>
      <w:r>
        <w:t xml:space="preserve"> Vergabestelle SDS / Landeshauptstadt Schwerin</w:t>
      </w:r>
    </w:p>
    <w:p>
      <w:pPr>
        <w:jc w:val="left"/>
      </w:pPr>
      <w:r>
        <w:rPr>
          <w:b/>
        </w:rPr>
        <w:t>An:</w:t>
      </w:r>
      <w:r>
        <w:t xml:space="preserve"> Vergabekammer des Bundes, VK 1</w:t>
      </w:r>
    </w:p>
    <w:p>
      <w:pPr>
        <w:jc w:val="left"/>
      </w:pPr>
      <w:r>
        <w:rPr>
          <w:b/>
        </w:rPr>
        <w:t>Datum:</w:t>
      </w:r>
      <w:r>
        <w:t xml:space="preserve"> 05.05.2026</w:t>
      </w:r>
    </w:p>
    <w:p/>
    <w:p>
      <w:pPr>
        <w:jc w:val="left"/>
      </w:pPr>
      <w:r>
        <w:t>Landeshauptstadt Schwerin</w:t>
      </w:r>
    </w:p>
    <w:p>
      <w:pPr>
        <w:jc w:val="left"/>
      </w:pPr>
      <w:r>
        <w:t>Eigenbetrieb SDS – Vergabestelle –</w:t>
      </w:r>
    </w:p>
    <w:p>
      <w:pPr>
        <w:jc w:val="left"/>
      </w:pPr>
      <w:r>
        <w:t>Verfahrensbevollmächtigte: Rechtsanwältin Dr. Sandra Mertke</w:t>
      </w:r>
    </w:p>
    <w:p>
      <w:pPr>
        <w:jc w:val="left"/>
      </w:pPr>
      <w:r>
        <w:t>Kanzlei Vergaberecht Nord, Kröpeliner Str. 90, 18055 Rostock</w:t>
      </w:r>
    </w:p>
    <w:p>
      <w:pPr>
        <w:jc w:val="left"/>
      </w:pPr>
      <w:r>
        <w:t>E-Mail: s.mertke@vr-nord.de</w:t>
      </w:r>
    </w:p>
    <w:p>
      <w:pPr>
        <w:jc w:val="left"/>
      </w:pPr>
      <w:r>
        <w:t>An die Vergabekammer des Bundes</w:t>
      </w:r>
    </w:p>
    <w:p>
      <w:pPr>
        <w:jc w:val="left"/>
      </w:pPr>
      <w:r>
        <w:t>– VK 1 –</w:t>
      </w:r>
    </w:p>
    <w:p>
      <w:pPr>
        <w:jc w:val="left"/>
      </w:pPr>
      <w:r>
        <w:t>Villemombler Straße 76, 53123 Bonn</w:t>
      </w:r>
    </w:p>
    <w:p>
      <w:pPr>
        <w:pStyle w:val="ListNumber"/>
      </w:pPr>
      <w:r>
        <w:t>Mai 2026</w:t>
      </w:r>
    </w:p>
    <w:p>
      <w:pPr>
        <w:pStyle w:val="Heading2"/>
      </w:pPr>
      <w:r>
        <w:rPr>
          <w:rFonts w:ascii="Times New Roman" w:hAnsi="Times New Roman"/>
        </w:rPr>
        <w:t>Stellungnahme der Antragsgegnerin</w:t>
      </w:r>
    </w:p>
    <w:p>
      <w:pPr>
        <w:jc w:val="left"/>
      </w:pPr>
      <w:r>
        <w:rPr>
          <w:b/>
        </w:rPr>
        <w:t>In dem Nachprüfungsverfahren VK 1-32/26</w:t>
      </w:r>
    </w:p>
    <w:p>
      <w:pPr>
        <w:jc w:val="left"/>
      </w:pPr>
      <w:r>
        <w:t>LH-SN-Cyber-SOC-NSV-2026</w:t>
      </w:r>
    </w:p>
    <w:p>
      <w:pPr>
        <w:jc w:val="left"/>
      </w:pPr>
      <w:r>
        <w:t>Antragstellerin: CyberShield Defense GmbH</w:t>
      </w:r>
    </w:p>
    <w:p>
      <w:pPr>
        <w:jc w:val="left"/>
      </w:pPr>
      <w:r>
        <w:t>Antragsgegnerin: Landeshauptstadt Schwerin / SDS</w:t>
      </w:r>
    </w:p>
    <w:p/>
    <w:p>
      <w:pPr>
        <w:jc w:val="left"/>
      </w:pPr>
      <w:r>
        <w:t>Wir zeigen an, dass wir die Antragsgegnerin vertreten und nehmen wie folgt Stellung:</w:t>
      </w:r>
    </w:p>
    <w:p>
      <w:pPr>
        <w:pStyle w:val="Heading3"/>
      </w:pPr>
      <w:r>
        <w:rPr>
          <w:rFonts w:ascii="Times New Roman" w:hAnsi="Times New Roman"/>
        </w:rPr>
        <w:t>1. Zur Zulässigkeit</w:t>
      </w:r>
    </w:p>
    <w:p>
      <w:pPr>
        <w:jc w:val="left"/>
      </w:pPr>
      <w:r>
        <w:t>Der Nachprüfungsantrag ist unzulässig, da die Rügefrist nicht gewahrt wurde. Die Antragstellerin hatte spätestens bei der Abfassung ihres Angebots Kenntnis davon, dass die Vergabeunterlagen ÖPNV-spezifische Erfahrungen als qualitatives Merkmal bewerten. Vergabefehler, die sich aus den Ausschreibungsunterlagen ergeben, hätten vor Angebotsabgabe gerügt werden müssen (§ 160 Abs. 3 Nr. 3 GWB).</w:t>
      </w:r>
    </w:p>
    <w:p>
      <w:pPr>
        <w:jc w:val="left"/>
      </w:pPr>
      <w:r>
        <w:rPr>
          <w:i/>
        </w:rPr>
        <w:t>Anmerkung: Dieser Einwand ist rechtlich schwach – das konkrete Fehlverhalten (Ausschluss) war erst durch das Ausschlussschreiben vom 14.04.2026 erkennbar.</w:t>
      </w:r>
    </w:p>
    <w:p>
      <w:pPr>
        <w:pStyle w:val="Heading3"/>
      </w:pPr>
      <w:r>
        <w:rPr>
          <w:rFonts w:ascii="Times New Roman" w:hAnsi="Times New Roman"/>
        </w:rPr>
        <w:t>2. Zur Begründetheit</w:t>
      </w:r>
    </w:p>
    <w:p>
      <w:pPr>
        <w:pStyle w:val="Heading3"/>
      </w:pPr>
      <w:r>
        <w:rPr>
          <w:rFonts w:ascii="Times New Roman" w:hAnsi="Times New Roman"/>
        </w:rPr>
        <w:t>2.1 Eignungsanforderung T-2</w:t>
      </w:r>
    </w:p>
    <w:p>
      <w:pPr>
        <w:jc w:val="left"/>
      </w:pPr>
      <w:r>
        <w:t>Die Vergabeunterlagen formulieren in Abschnitt 2.1.1 der Leistungsbeschreibung ausdrücklich die Anforderung, OT-Systeme in ÖPNV-Leitstellen (Fahrzeugflottensysteme, Straßenbahn-OT) zu überwachen. Diese Anforderung ist spezifisch für den ÖPNV-Sektor und kann durch allgemeine Stadtwerke-Erfahrung nicht substituiert werden.</w:t>
      </w:r>
    </w:p>
    <w:p>
      <w:pPr>
        <w:jc w:val="left"/>
      </w:pPr>
      <w:r>
        <w:t>Die Antragsgegnerin verweist auf die Grundsatzentscheidung des OLG Düsseldorf (Beschluss v. 13.01.2021 – Verg 23/20): Vergabestellen haben bei der Auslegung eigener Eignungsanforderungen einen Beurteilungsspielraum; dieser ist gerichtlich nur auf evidente Sachwidrigkeiten überprüfbar.</w:t>
      </w:r>
    </w:p>
    <w:p>
      <w:pPr>
        <w:pStyle w:val="Heading3"/>
      </w:pPr>
      <w:r>
        <w:rPr>
          <w:rFonts w:ascii="Times New Roman" w:hAnsi="Times New Roman"/>
        </w:rPr>
        <w:t>2.2 Referenz VVS Stuttgart</w:t>
      </w:r>
    </w:p>
    <w:p>
      <w:pPr>
        <w:jc w:val="left"/>
      </w:pPr>
      <w:r>
        <w:t>Der VVS ist rechtlich und operativ als Verbundorganisator tätig, nicht als ÖPNV-Betreiber. Die bei der VVS erbrachte Leistung (ISB-Beratung IT) ist mit dem ausgeschriebenen SOC-Betrieb für einen Fahrzeugbetreiber nicht vergleichbar. Es fehlt die OT-Komponente.</w:t>
      </w:r>
    </w:p>
    <w:p>
      <w:pPr>
        <w:pStyle w:val="Heading3"/>
      </w:pPr>
      <w:r>
        <w:rPr>
          <w:rFonts w:ascii="Times New Roman" w:hAnsi="Times New Roman"/>
        </w:rPr>
        <w:t>2.3 Aufklärungsgespräch ProtectIT SE</w:t>
      </w:r>
    </w:p>
    <w:p>
      <w:pPr>
        <w:jc w:val="left"/>
      </w:pPr>
      <w:r>
        <w:t>Das Aufklärungsgespräch vom 08.04.2026 war auf die Klärung von zwei Textunklarheiten im SOC-Konzept der ProtectIT SE beschränkt (Fragen zu Reaktionszeiten und Datenhaltungsort). Es fanden weder Preisverhandlungen statt noch wurde ProtectIT SE die Möglichkeit gegeben, ihr Angebot materiell zu verändern. Der Vergabevermerk dokumentiert den Gesprächsverlauf vollständig.</w:t>
      </w:r>
    </w:p>
    <w:p>
      <w:pPr>
        <w:pStyle w:val="Heading3"/>
      </w:pPr>
      <w:r>
        <w:rPr>
          <w:rFonts w:ascii="Times New Roman" w:hAnsi="Times New Roman"/>
        </w:rPr>
        <w:t>3. Anträge der Antragsgegnerin</w:t>
      </w:r>
    </w:p>
    <w:p>
      <w:pPr>
        <w:pStyle w:val="ListNumber"/>
      </w:pPr>
      <w:r>
        <w:t>Den Nachprüfungsantrag als unzulässig, hilfsweise als unbegründet abzuweisen.</w:t>
      </w:r>
    </w:p>
    <w:p>
      <w:pPr>
        <w:pStyle w:val="ListNumber"/>
      </w:pPr>
      <w:r>
        <w:t>Der Antragstellerin die Kosten des Verfahrens aufzuerlegen.</w:t>
      </w:r>
    </w:p>
    <w:p/>
    <w:p>
      <w:pPr>
        <w:jc w:val="left"/>
      </w:pPr>
      <w:r>
        <w:rPr>
          <w:b/>
        </w:rPr>
        <w:t>Anlage:</w:t>
      </w:r>
      <w:r>
        <w:t xml:space="preserve"> Vergabevermerk (vollständig, als vertraulich gekennzeichnet – Einsichtnahme durch Kammer und Verfahrensbevollmächtigte gem. § 165 GWB)</w:t>
      </w:r>
    </w:p>
    <w:p/>
    <w:p>
      <w:pPr>
        <w:jc w:val="left"/>
      </w:pPr>
      <w:r>
        <w:t>Dr. Sandra Mertke</w:t>
      </w:r>
    </w:p>
    <w:p>
      <w:pPr>
        <w:jc w:val="left"/>
      </w:pPr>
      <w:r>
        <w:t>Rechtsanwältin (Verfahrensbevollmächtigte der Antragsgegnerin)</w:t>
      </w:r>
    </w:p>
    <w:p/>
    <w:p>
      <w:pPr>
        <w:jc w:val="left"/>
      </w:pPr>
      <w:r>
        <w:rPr>
          <w:i/>
        </w:rPr>
        <w:t>Dokument-Ende Aktenstück 10</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