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– Protokoll Aufklärungstermin Vergabekammer (04.06.2026)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Datum:</w:t>
      </w:r>
      <w:r>
        <w:t xml:space="preserve"> 04.06.2026, 10:00 – 14:30 Uhr</w:t>
      </w:r>
    </w:p>
    <w:p>
      <w:pPr>
        <w:jc w:val="left"/>
      </w:pPr>
      <w:r>
        <w:rPr>
          <w:b/>
        </w:rPr>
        <w:t>Ort:</w:t>
      </w:r>
      <w:r>
        <w:t xml:space="preserve"> Vergabekammer des Bundes, Bonn, Sitzungssaal 2</w:t>
      </w:r>
    </w:p>
    <w:p>
      <w:pPr>
        <w:jc w:val="left"/>
      </w:pPr>
      <w:r>
        <w:rPr>
          <w:b/>
        </w:rPr>
        <w:t>Protokolliert:</w:t>
      </w:r>
      <w:r>
        <w:t xml:space="preserve"> durch ORR Dr. Claudia Vogt</w:t>
      </w:r>
    </w:p>
    <w:p/>
    <w:p>
      <w:pPr>
        <w:pStyle w:val="Heading2"/>
      </w:pPr>
      <w:r>
        <w:rPr>
          <w:rFonts w:ascii="Times New Roman" w:hAnsi="Times New Roman"/>
        </w:rPr>
        <w:t>Protokoll des Aufklärungstermins</w:t>
      </w:r>
    </w:p>
    <w:p>
      <w:pPr>
        <w:pStyle w:val="Heading3"/>
      </w:pPr>
      <w:r>
        <w:rPr>
          <w:rFonts w:ascii="Times New Roman" w:hAnsi="Times New Roman"/>
        </w:rPr>
        <w:t>Anwesende</w:t>
      </w:r>
    </w:p>
    <w:p>
      <w:pPr>
        <w:jc w:val="left"/>
      </w:pPr>
      <w:r>
        <w:rPr>
          <w:b/>
        </w:rPr>
        <w:t>Vergabekammer:</w:t>
      </w:r>
    </w:p>
    <w:p>
      <w:pPr>
        <w:pStyle w:val="ListBullet"/>
      </w:pPr>
      <w:r>
        <w:t>VRin Dr. Elfriede Böhnke (Vorsitzende, VK 1)</w:t>
      </w:r>
    </w:p>
    <w:p>
      <w:pPr>
        <w:pStyle w:val="ListBullet"/>
      </w:pPr>
      <w:r>
        <w:t>ORR Dr. Claudia Vogt (Berichterstatterin)</w:t>
      </w:r>
    </w:p>
    <w:p>
      <w:pPr>
        <w:pStyle w:val="ListBullet"/>
      </w:pPr>
      <w:r>
        <w:t>BR Thorsten Hausmann (Beisitzer)</w:t>
      </w:r>
    </w:p>
    <w:p>
      <w:pPr>
        <w:jc w:val="left"/>
      </w:pPr>
      <w:r>
        <w:rPr>
          <w:b/>
        </w:rPr>
        <w:t>Antragstellerin CyberShield Defense GmbH:</w:t>
      </w:r>
    </w:p>
    <w:p>
      <w:pPr>
        <w:pStyle w:val="ListBullet"/>
      </w:pPr>
      <w:r>
        <w:t>RA Dr. Constantin Bährens (Bevollmächtigter)</w:t>
      </w:r>
    </w:p>
    <w:p>
      <w:pPr>
        <w:pStyle w:val="ListBullet"/>
      </w:pPr>
      <w:r>
        <w:t>Hendrik Laufer (Geschäftsführer CyberShield)</w:t>
      </w:r>
    </w:p>
    <w:p>
      <w:pPr>
        <w:pStyle w:val="ListBullet"/>
      </w:pPr>
      <w:r>
        <w:t>Marcus Karpinski (technischer Sachverständiger CyberShield)</w:t>
      </w:r>
    </w:p>
    <w:p>
      <w:pPr>
        <w:jc w:val="left"/>
      </w:pPr>
      <w:r>
        <w:rPr>
          <w:b/>
        </w:rPr>
        <w:t>Antragsgegnerin Landeshauptstadt Schwerin / SDS:</w:t>
      </w:r>
    </w:p>
    <w:p>
      <w:pPr>
        <w:pStyle w:val="ListBullet"/>
      </w:pPr>
      <w:r>
        <w:t>RAin Dr. Sandra Mertke (Bevollmächtigte)</w:t>
      </w:r>
    </w:p>
    <w:p>
      <w:pPr>
        <w:pStyle w:val="ListBullet"/>
      </w:pPr>
      <w:r>
        <w:t>Yvonne Behnke (Vergabestellenleiterin SDS)</w:t>
      </w:r>
    </w:p>
    <w:p>
      <w:pPr>
        <w:pStyle w:val="ListBullet"/>
      </w:pPr>
      <w:r>
        <w:t>Ulrich Sternberg (Stadtdirektor SDS, i.V. Oberbürgermeister)</w:t>
      </w:r>
    </w:p>
    <w:p>
      <w:pPr>
        <w:jc w:val="left"/>
      </w:pPr>
      <w:r>
        <w:rPr>
          <w:b/>
        </w:rPr>
        <w:t>Beigeladene ProtectIT SE:</w:t>
      </w:r>
    </w:p>
    <w:p>
      <w:pPr>
        <w:pStyle w:val="ListBullet"/>
      </w:pPr>
      <w:r>
        <w:t>RAin Dr. Friederike Hohmann (Bevollmächtigte)</w:t>
      </w:r>
    </w:p>
    <w:p>
      <w:pPr>
        <w:pStyle w:val="ListBullet"/>
      </w:pPr>
      <w:r>
        <w:t>Thomas Körner (VP Public Sector, ProtectIT SE)</w:t>
      </w:r>
    </w:p>
    <w:p/>
    <w:p>
      <w:pPr>
        <w:pStyle w:val="Heading3"/>
      </w:pPr>
      <w:r>
        <w:rPr>
          <w:rFonts w:ascii="Times New Roman" w:hAnsi="Times New Roman"/>
        </w:rPr>
        <w:t>Verlauf des Termins</w:t>
      </w:r>
    </w:p>
    <w:p>
      <w:pPr>
        <w:jc w:val="left"/>
      </w:pPr>
      <w:r>
        <w:rPr>
          <w:b/>
        </w:rPr>
        <w:t>10:05 Uhr</w:t>
      </w:r>
      <w:r>
        <w:t xml:space="preserve"> – Vorsitzende Dr. Böhnke eröffnet den Termin und stellt die Anwesenden fest.</w:t>
      </w:r>
    </w:p>
    <w:p>
      <w:pPr>
        <w:jc w:val="left"/>
      </w:pPr>
      <w:r>
        <w:rPr>
          <w:b/>
        </w:rPr>
        <w:t>10:10 Uhr</w:t>
      </w:r>
      <w:r>
        <w:t xml:space="preserve"> – Vorsitzende erläutert den Verfahrensstand und gibt bekannt, dass der Tenor des Beschlusses voraussichtlich in der dritten Juniwoche 2026 ergeht.</w:t>
      </w:r>
    </w:p>
    <w:p>
      <w:pPr>
        <w:jc w:val="left"/>
      </w:pPr>
      <w:r>
        <w:rPr>
          <w:b/>
        </w:rPr>
        <w:t>10:20 Uhr – Aufklärung A-1 (Eignungsanforderung T-2):</w:t>
      </w:r>
    </w:p>
    <w:p>
      <w:pPr>
        <w:jc w:val="left"/>
      </w:pPr>
      <w:r>
        <w:t>RAin Dr. Mertke erklärt: Die Auslegung von T-2 als ÖPNV-spezifische Anforderung stütze sich auf die Leistungsbeschreibung, nicht auf den Wortlaut von T-2 selbst. Sie räumt ein, dass die Formulierung „bevorzugt" in T-2 kein zwingend ausformulieres KO-Kriterium begründet. Die Vergabestelle habe eine „funktionale Auslegung" vorgenommen.</w:t>
      </w:r>
    </w:p>
    <w:p>
      <w:pPr>
        <w:jc w:val="left"/>
      </w:pPr>
      <w:r>
        <w:rPr>
          <w:b/>
        </w:rPr>
        <w:t>Nachfrage Dr. Böhnke:</w:t>
      </w:r>
      <w:r>
        <w:t xml:space="preserve"> „Können Sie eine Dokumentation vorlegen, aus der hervorgeht, dass die Vergabestelle vor der Ausschreibung festgelegt hat, wie T-2 im Falle der Eignungsprüfung ausgelegt werden soll?"</w:t>
      </w:r>
    </w:p>
    <w:p>
      <w:pPr>
        <w:jc w:val="left"/>
      </w:pPr>
      <w:r>
        <w:rPr>
          <w:b/>
        </w:rPr>
        <w:t>Dr. Mertke:</w:t>
      </w:r>
      <w:r>
        <w:t xml:space="preserve"> „Eine solche vorab-Dokumentation liegt nicht vor. Die Auslegungsentscheidung fiel während der Eignungsprüfung."</w:t>
      </w:r>
    </w:p>
    <w:p>
      <w:pPr>
        <w:jc w:val="left"/>
      </w:pPr>
      <w:r>
        <w:rPr>
          <w:b/>
        </w:rPr>
        <w:t>Dr. Böhnke (für Protokoll):</w:t>
      </w:r>
      <w:r>
        <w:t xml:space="preserve"> „Die Vergabekammer hält fest: Es fehlt eine vorab-Dokumentation der Auslegung von T-2. Dies ist vergaberechtlich problematisch."</w:t>
      </w:r>
    </w:p>
    <w:p>
      <w:pPr>
        <w:jc w:val="left"/>
      </w:pPr>
      <w:r>
        <w:rPr>
          <w:b/>
        </w:rPr>
        <w:t>11:00 Uhr – Aufklärung A-2 (Aufklärungsgespräch ProtectIT):</w:t>
      </w:r>
    </w:p>
    <w:p>
      <w:pPr>
        <w:jc w:val="left"/>
      </w:pPr>
      <w:r>
        <w:t>Auf Vorhalt der überarbeiteten Fassung des Reaktionszeitenkonzepts (Übersendung 10.04.2026) erklärt RAin Dr. Hohmann für die Beigeladene:</w:t>
      </w:r>
    </w:p>
    <w:p>
      <w:pPr>
        <w:jc w:val="left"/>
      </w:pPr>
      <w:r>
        <w:t>„Die überarbeitete Fassung hat lediglich die tabellarische Darstellung der Reaktionszeiten konkretisiert, ohne inhaltliche Veränderungen vorzunehmen. Es handelt sich um eine Erläuterung, keine Angebotsänderung."</w:t>
      </w:r>
    </w:p>
    <w:p>
      <w:pPr>
        <w:jc w:val="left"/>
      </w:pPr>
      <w:r>
        <w:rPr>
          <w:b/>
        </w:rPr>
        <w:t>RA Dr. Bährens:</w:t>
      </w:r>
      <w:r>
        <w:t xml:space="preserve"> „Die Synopse, die wir vorgelegt haben, zeigt, dass in der überarbeiteten Fassung die Reaktionszeit für Severity 2 von ‚30 Minuten' auf ‚60 Minuten' geändert wurde – in Übereinstimmung mit dem Ausschreibungserfordernis, das 1 Stunde vorgibt. Das ursprüngliche Angebot war also gar nicht ausschreibungskonform."</w:t>
      </w:r>
    </w:p>
    <w:p>
      <w:pPr>
        <w:jc w:val="left"/>
      </w:pPr>
      <w:r>
        <w:rPr>
          <w:b/>
        </w:rPr>
        <w:t>Dr. Böhnke:</w:t>
      </w:r>
      <w:r>
        <w:t xml:space="preserve"> „Das ist für die Kammer ein wesentlicher Punkt. Die Vergabekammer vermerkt: Die Änderung der Reaktionszeit Severity 2 von 30 auf 60 Minuten ist eine inhaltliche Angebotsänderung, keine bloße Erläuterung."</w:t>
      </w:r>
    </w:p>
    <w:p>
      <w:pPr>
        <w:jc w:val="left"/>
      </w:pPr>
      <w:r>
        <w:rPr>
          <w:b/>
        </w:rPr>
        <w:t>12:00 Uhr – Mittagspause</w:t>
      </w:r>
    </w:p>
    <w:p>
      <w:pPr>
        <w:jc w:val="left"/>
      </w:pPr>
      <w:r>
        <w:rPr>
          <w:b/>
        </w:rPr>
        <w:t>13:00 Uhr – Aufklärung A-3 (SOC-Pilotbetrieb 12/2025):</w:t>
      </w:r>
    </w:p>
    <w:p>
      <w:pPr>
        <w:jc w:val="left"/>
      </w:pPr>
      <w:r>
        <w:t>Frau Behnke: „Der SOC-Pilotbetrieb für die NSV wurde im Dezember 2025 auf der Grundlage einer Notstandsvergabe nach § 14 Abs. 4 Nr. 3 VgV beauftragt. Der Auftragswert betrug 48.000 EUR netto. Eine EU-weite Ausschreibung war daher nicht erforderlich."</w:t>
      </w:r>
    </w:p>
    <w:p>
      <w:pPr>
        <w:jc w:val="left"/>
      </w:pPr>
      <w:r>
        <w:rPr>
          <w:b/>
        </w:rPr>
        <w:t>RA Dr. Bährens:</w:t>
      </w:r>
      <w:r>
        <w:t xml:space="preserve"> „Wir zweifeln an der Notstandsbegründung. Der BSI-Audit-Bericht vom November 2024 hat die Sicherheitslücken festgestellt. Zwischen November 2024 und Dezember 2025 wäre ausreichend Zeit für ein Vergabeverfahren gewesen."</w:t>
      </w:r>
    </w:p>
    <w:p>
      <w:pPr>
        <w:jc w:val="left"/>
      </w:pPr>
      <w:r>
        <w:rPr>
          <w:b/>
        </w:rPr>
        <w:t>Dr. Böhnke (für Protokoll):</w:t>
      </w:r>
      <w:r>
        <w:t xml:space="preserve"> „Die Frage der De-facto-Vergabe wird im Nachprüfungsverfahren nicht abschließend geprüft. Die Antragstellerin kann dies zum Gegenstand eines gesonderten Antrags machen oder den ordentlichen Rechtsweg (§ 135 Abs. 2 GWB) beschreiten."</w:t>
      </w:r>
    </w:p>
    <w:p>
      <w:pPr>
        <w:jc w:val="left"/>
      </w:pPr>
      <w:r>
        <w:rPr>
          <w:b/>
        </w:rPr>
        <w:t>14:00 Uhr – Gütliche Einigung / Vergleichsgespräch:</w:t>
      </w:r>
    </w:p>
    <w:p>
      <w:pPr>
        <w:jc w:val="left"/>
      </w:pPr>
      <w:r>
        <w:t>Vorsitzende Dr. Böhnke schlägt den Parteien vor, einen gütlichen Vergleich zu erwägen. Auf Anregung der Kammer formuliert die Vergabestelle einen vorläufigen Vergleichsvorschlag (→ Aktenstück 15).</w:t>
      </w:r>
    </w:p>
    <w:p>
      <w:pPr>
        <w:jc w:val="left"/>
      </w:pPr>
      <w:r>
        <w:rPr>
          <w:b/>
        </w:rPr>
        <w:t>14:30 Uhr – Termin geschlossen.</w:t>
      </w:r>
    </w:p>
    <w:p/>
    <w:p>
      <w:pPr>
        <w:jc w:val="left"/>
      </w:pPr>
      <w:r>
        <w:rPr>
          <w:i/>
        </w:rPr>
        <w:t>Protokoll bestätigt durch alle Parteien. Gegenzeichnung ausstehend.</w:t>
      </w:r>
    </w:p>
    <w:p/>
    <w:p>
      <w:pPr>
        <w:jc w:val="left"/>
      </w:pPr>
      <w:r>
        <w:rPr>
          <w:i/>
        </w:rPr>
        <w:t>Dokument-Ende Aktenstück 14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