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Aktenstück 15 – Vergleichsvorschlag der Vergabestelle</w:t>
      </w:r>
    </w:p>
    <w:p>
      <w:pPr>
        <w:jc w:val="left"/>
      </w:pPr>
      <w:r>
        <w:rPr>
          <w:b/>
        </w:rPr>
        <w:t>Aktenzeichen:</w:t>
      </w:r>
      <w:r>
        <w:t xml:space="preserve"> VK 1-32/26</w:t>
      </w:r>
    </w:p>
    <w:p>
      <w:pPr>
        <w:jc w:val="left"/>
      </w:pPr>
      <w:r>
        <w:rPr>
          <w:b/>
        </w:rPr>
        <w:t>Vorhabenbezeichnung:</w:t>
      </w:r>
      <w:r>
        <w:t xml:space="preserve"> LH-SN-Cyber-SOC-NSV-2026</w:t>
      </w:r>
    </w:p>
    <w:p>
      <w:pPr>
        <w:jc w:val="left"/>
      </w:pPr>
      <w:r>
        <w:rPr>
          <w:b/>
        </w:rPr>
        <w:t>Datum:</w:t>
      </w:r>
      <w:r>
        <w:t xml:space="preserve"> 09.06.2026</w:t>
      </w:r>
    </w:p>
    <w:p>
      <w:pPr>
        <w:jc w:val="left"/>
      </w:pPr>
      <w:r>
        <w:rPr>
          <w:b/>
        </w:rPr>
        <w:t>Von:</w:t>
      </w:r>
      <w:r>
        <w:t xml:space="preserve"> RAin Dr. Sandra Mertke (für Antragsgegnerin)</w:t>
      </w:r>
    </w:p>
    <w:p>
      <w:pPr>
        <w:jc w:val="left"/>
      </w:pPr>
      <w:r>
        <w:rPr>
          <w:b/>
        </w:rPr>
        <w:t>An:</w:t>
      </w:r>
      <w:r>
        <w:t xml:space="preserve"> RA Dr. Constantin Bährens (für Antragstellerin)</w:t>
      </w:r>
    </w:p>
    <w:p/>
    <w:p>
      <w:pPr>
        <w:pStyle w:val="Heading2"/>
      </w:pPr>
      <w:r>
        <w:rPr>
          <w:rFonts w:ascii="Times New Roman" w:hAnsi="Times New Roman"/>
        </w:rPr>
        <w:t>Vergleichsvorschlag im Nachprüfungsverfahren VK 1-32/26</w:t>
      </w:r>
    </w:p>
    <w:p>
      <w:pPr>
        <w:jc w:val="left"/>
      </w:pPr>
      <w:r>
        <w:t>In dem Nachprüfungsverfahren unterbreitet die Antragsgegnerin (Landeshauptstadt Schwerin / SDS) der Antragstellerin (CyberShield Defense GmbH) folgenden Vergleichsvorschlag:</w:t>
      </w:r>
    </w:p>
    <w:p/>
    <w:p>
      <w:pPr>
        <w:pStyle w:val="Heading3"/>
      </w:pPr>
      <w:r>
        <w:rPr>
          <w:rFonts w:ascii="Times New Roman" w:hAnsi="Times New Roman"/>
        </w:rPr>
        <w:t>Vorschlag der Antragsgegnerin</w:t>
      </w:r>
    </w:p>
    <w:p>
      <w:pPr>
        <w:jc w:val="left"/>
      </w:pPr>
      <w:r>
        <w:rPr>
          <w:b/>
        </w:rPr>
        <w:t>Die Antragsgegnerin ist bereit:</w:t>
      </w:r>
    </w:p>
    <w:p>
      <w:pPr>
        <w:pStyle w:val="ListNumber"/>
      </w:pPr>
      <w:r>
        <w:rPr>
          <w:b/>
        </w:rPr>
        <w:t>Neubewertung der Eignung:</w:t>
      </w:r>
      <w:r>
        <w:t xml:space="preserve"> Das Angebot der CyberShield Defense GmbH wird erneut der Eignungsprüfung unterzogen. Die Vergabestelle erkennt an, dass die Formulierung „bevorzugt im Sektor Verkehr" in T-2 kein zwingend ausschlussauslösendes KO-Kriterium begründet.</w:t>
      </w:r>
    </w:p>
    <w:p>
      <w:pPr>
        <w:pStyle w:val="ListNumber"/>
      </w:pPr>
      <w:r>
        <w:rPr>
          <w:b/>
        </w:rPr>
        <w:t>Zulassung zur Wertung:</w:t>
      </w:r>
      <w:r>
        <w:t xml:space="preserve"> Das Angebot der CyberShield Defense GmbH wird in die Angebotswertung nach Zuschlagskriterien ZK-1 bis ZK-5 einbezogen.</w:t>
      </w:r>
    </w:p>
    <w:p>
      <w:pPr>
        <w:pStyle w:val="ListNumber"/>
      </w:pPr>
      <w:r>
        <w:rPr>
          <w:b/>
        </w:rPr>
        <w:t>Transparenz Aufklärungsgespräch:</w:t>
      </w:r>
      <w:r>
        <w:t xml:space="preserve"> Die Vergabestelle übermittelt der Antragstellerin das vollständige Protokoll des Aufklärungsgesprächs mit ProtectIT SE vom 08.04.2026 und die überarbeitete Fassung des Reaktionszeitenkonzepts.</w:t>
      </w:r>
    </w:p>
    <w:p>
      <w:pPr>
        <w:pStyle w:val="ListNumber"/>
      </w:pPr>
      <w:r>
        <w:rPr>
          <w:b/>
        </w:rPr>
        <w:t>Prüfung Reaktionszeitenkonzept ProtectIT:</w:t>
      </w:r>
      <w:r>
        <w:t xml:space="preserve"> Sollte die Vergabekammer feststellen, dass die Änderung der Reaktionszeit von 30 auf 60 Minuten eine unzulässige Angebotsänderung darstellt, wird das Angebot der ProtectIT SE in diesem Punkt wertungsmäßig auf Basis des ursprünglichen (nicht ausschreibungskonformen) Reaktionszeitenkonzepts beurteilt, was eine Herabstufung in ZK-3 zur Folge hätte.</w:t>
      </w:r>
    </w:p>
    <w:p>
      <w:pPr>
        <w:jc w:val="left"/>
      </w:pPr>
      <w:r>
        <w:rPr>
          <w:b/>
        </w:rPr>
        <w:t>Die Antragsgegnerin besteht auf:</w:t>
      </w:r>
    </w:p>
    <w:p>
      <w:pPr>
        <w:pStyle w:val="ListBullet"/>
      </w:pPr>
      <w:r>
        <w:t>Der Zuschlag an ProtectIT SE wird nicht aufgehoben, bevor die Neubewertung abgeschlossen ist.</w:t>
      </w:r>
    </w:p>
    <w:p>
      <w:pPr>
        <w:pStyle w:val="ListBullet"/>
      </w:pPr>
      <w:r>
        <w:t>Der Vergleich gilt nur für das vorliegende Vergabeverfahren und begründet kein Schuldanerkenntnis hinsichtlich etwaiger Schadensersatzansprüche.</w:t>
      </w:r>
    </w:p>
    <w:p>
      <w:pPr>
        <w:pStyle w:val="ListBullet"/>
      </w:pPr>
      <w:r>
        <w:t>Die De-facto-Vergabe (SOC-Pilotbetrieb 12/2025) ist nicht Gegenstand dieses Vergleichs.</w:t>
      </w:r>
    </w:p>
    <w:p>
      <w:pPr>
        <w:jc w:val="left"/>
      </w:pPr>
      <w:r>
        <w:rPr>
          <w:b/>
        </w:rPr>
        <w:t>Zu den Kosten:</w:t>
      </w:r>
    </w:p>
    <w:p>
      <w:pPr>
        <w:jc w:val="left"/>
      </w:pPr>
      <w:r>
        <w:t>Jede Partei trägt ihre eigenen Kosten. Die Verfahrensgebühren der Vergabekammer werden hälftig geteilt.</w:t>
      </w:r>
    </w:p>
    <w:p/>
    <w:p>
      <w:pPr>
        <w:pStyle w:val="Heading3"/>
      </w:pPr>
      <w:r>
        <w:rPr>
          <w:rFonts w:ascii="Times New Roman" w:hAnsi="Times New Roman"/>
        </w:rPr>
        <w:t>Bewertung des Vergleichsvorschlags (Sicht Antragstellerin, intern)</w:t>
      </w:r>
    </w:p>
    <w:p>
      <w:pPr>
        <w:jc w:val="left"/>
      </w:pPr>
      <w:r>
        <w:rPr>
          <w:i/>
        </w:rPr>
        <w:t>[Interner Vermerk RA Dr. Bährens, nicht Teil des Vergleichsdokuments]</w:t>
      </w:r>
    </w:p>
    <w:p>
      <w:pPr>
        <w:jc w:val="left"/>
      </w:pPr>
      <w:r>
        <w:t>Der Vergleichsvorschlag adressiert den Kernvorwurf (unzulässiger Ausschluss), ist aber in folgenden Punkten unzureichend:</w:t>
      </w:r>
    </w:p>
    <w:p>
      <w:pPr>
        <w:pStyle w:val="ListNumber"/>
      </w:pPr>
      <w:r>
        <w:t>Er gibt keine Garantie für einen Zuschlag, sondern nur für eine Neubewertung. Bei einer Neubewertung könnte CyberShield – trotz Einbeziehung – immer noch unterliegen.</w:t>
      </w:r>
    </w:p>
    <w:p>
      <w:pPr>
        <w:pStyle w:val="ListNumber"/>
      </w:pPr>
      <w:r>
        <w:t>Die Kostenregelung ist unbefriedigend. CyberShield hat durch das rechtswidrige Verhalten der Vergabestelle erhebliche anwaltliche Kosten verursacht; eine hälftige Teilung ist nicht sachgerecht.</w:t>
      </w:r>
    </w:p>
    <w:p>
      <w:pPr>
        <w:pStyle w:val="ListNumber"/>
      </w:pPr>
      <w:r>
        <w:t>Die Frage der unzulässigen Nachverhandlung (§ 15 Abs. 5 VgV) ist nicht gelöst. Sollte ProtectIT SE durch die unzulässige Angebotsänderung einen Wertungsvorteil erlangt haben, reicht eine bloße „Herabstufung in ZK-3" nicht aus – der Zuschlag an ProtectIT wäre aufzuheben.</w:t>
      </w:r>
    </w:p>
    <w:p>
      <w:pPr>
        <w:jc w:val="left"/>
      </w:pPr>
      <w:r>
        <w:rPr>
          <w:b/>
        </w:rPr>
        <w:t>Empfehlung:</w:t>
      </w:r>
      <w:r>
        <w:t xml:space="preserve"> Ablehnung des Vergleichsvorschlags; Beantragung eines vollständigen Beschlusses der VK mit dem Ziel, die unzulässige Nachverhandlung rechtsverbindlich festzustellen.</w:t>
      </w:r>
    </w:p>
    <w:p/>
    <w:p>
      <w:pPr>
        <w:jc w:val="left"/>
      </w:pPr>
      <w:r>
        <w:rPr>
          <w:i/>
        </w:rPr>
        <w:t>Dokument-Ende Aktenstück 15</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