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17 – Beschluss Vergabekammer des Bundes VK 1-32/26</w:t>
      </w:r>
    </w:p>
    <w:p>
      <w:pPr>
        <w:jc w:val="left"/>
      </w:pPr>
      <w:r>
        <w:rPr>
          <w:b/>
        </w:rPr>
        <w:t>Aktenzeichen:</w:t>
      </w:r>
      <w:r>
        <w:t xml:space="preserve"> VK 1-32/26</w:t>
      </w:r>
    </w:p>
    <w:p>
      <w:pPr>
        <w:jc w:val="left"/>
      </w:pPr>
      <w:r>
        <w:rPr>
          <w:b/>
        </w:rPr>
        <w:t>Datum:</w:t>
      </w:r>
      <w:r>
        <w:t xml:space="preserve"> 25.06.2026</w:t>
      </w:r>
    </w:p>
    <w:p>
      <w:pPr>
        <w:jc w:val="left"/>
      </w:pPr>
      <w:r>
        <w:rPr>
          <w:b/>
        </w:rPr>
        <w:t>Erlassen von:</w:t>
      </w:r>
      <w:r>
        <w:t xml:space="preserve"> Vergabekammer des Bundes, VK 1</w:t>
      </w:r>
    </w:p>
    <w:p/>
    <w:p>
      <w:pPr>
        <w:pStyle w:val="Heading2"/>
      </w:pPr>
      <w:r>
        <w:rPr>
          <w:rFonts w:ascii="Times New Roman" w:hAnsi="Times New Roman"/>
        </w:rPr>
        <w:t>BESCHLUSS</w:t>
      </w:r>
    </w:p>
    <w:p>
      <w:pPr>
        <w:jc w:val="left"/>
      </w:pPr>
      <w:r>
        <w:rPr>
          <w:b/>
        </w:rPr>
        <w:t>Vergabekammer des Bundes, 1. Beschlussabteilung</w:t>
      </w:r>
    </w:p>
    <w:p>
      <w:pPr>
        <w:jc w:val="left"/>
      </w:pPr>
      <w:r>
        <w:t>In dem Nachprüfungsverfahren</w:t>
      </w:r>
    </w:p>
    <w:p>
      <w:pPr>
        <w:jc w:val="left"/>
      </w:pPr>
      <w:r>
        <w:rPr>
          <w:b/>
        </w:rPr>
        <w:t>VK 1-32/26</w:t>
      </w:r>
    </w:p>
    <w:p>
      <w:pPr>
        <w:jc w:val="left"/>
      </w:pPr>
      <w:r>
        <w:rPr>
          <w:b/>
        </w:rPr>
        <w:t>Antragstellerin:</w:t>
      </w:r>
      <w:r>
        <w:t xml:space="preserve"> CyberShield Defense GmbH, Berlin</w:t>
      </w:r>
    </w:p>
    <w:p>
      <w:pPr>
        <w:jc w:val="left"/>
      </w:pPr>
      <w:r>
        <w:rPr>
          <w:b/>
        </w:rPr>
        <w:t>Antragsgegnerin:</w:t>
      </w:r>
      <w:r>
        <w:t xml:space="preserve"> Landeshauptstadt Schwerin / Eigenbetrieb SDS, Schwerin</w:t>
      </w:r>
    </w:p>
    <w:p>
      <w:pPr>
        <w:jc w:val="left"/>
      </w:pPr>
      <w:r>
        <w:rPr>
          <w:b/>
        </w:rPr>
        <w:t>Beigeladene:</w:t>
      </w:r>
      <w:r>
        <w:t xml:space="preserve"> ProtectIT SE, Bonn</w:t>
      </w:r>
    </w:p>
    <w:p>
      <w:pPr>
        <w:jc w:val="left"/>
      </w:pPr>
      <w:r>
        <w:t>hat die Vergabekammer des Bundes, bestehend aus:</w:t>
      </w:r>
    </w:p>
    <w:p>
      <w:pPr>
        <w:jc w:val="left"/>
      </w:pPr>
      <w:r>
        <w:t>Vorsitzende: VRin Dr. Elfriede Böhnke</w:t>
      </w:r>
    </w:p>
    <w:p>
      <w:pPr>
        <w:jc w:val="left"/>
      </w:pPr>
      <w:r>
        <w:t>Berichterstatterin: ORR Dr. Claudia Vogt</w:t>
      </w:r>
    </w:p>
    <w:p>
      <w:pPr>
        <w:jc w:val="left"/>
      </w:pPr>
      <w:r>
        <w:t>Beisitzer: BR Thorsten Hausmann</w:t>
      </w:r>
    </w:p>
    <w:p>
      <w:pPr>
        <w:jc w:val="left"/>
      </w:pPr>
      <w:r>
        <w:t>am 25. Juni 2026 beschlossen:</w:t>
      </w:r>
    </w:p>
    <w:p/>
    <w:p>
      <w:pPr>
        <w:pStyle w:val="Heading2"/>
      </w:pPr>
      <w:r>
        <w:rPr>
          <w:rFonts w:ascii="Times New Roman" w:hAnsi="Times New Roman"/>
        </w:rPr>
        <w:t>Tenor</w:t>
      </w:r>
    </w:p>
    <w:p>
      <w:pPr>
        <w:jc w:val="left"/>
      </w:pPr>
      <w:r>
        <w:rPr>
          <w:b/>
        </w:rPr>
        <w:t>I.</w:t>
      </w:r>
      <w:r>
        <w:t xml:space="preserve"> Die Antragsgegnerin wird verpflichtet, den Bieterausschluss der CyberShield Defense GmbH vom 14.04.2026 aufzuheben und das Angebot der Antragstellerin in die Angebotswertung nach den Zuschlagskriterien ZK-1 bis ZK-5 einzubeziehen.</w:t>
      </w:r>
    </w:p>
    <w:p>
      <w:pPr>
        <w:jc w:val="left"/>
      </w:pPr>
      <w:r>
        <w:rPr>
          <w:b/>
        </w:rPr>
        <w:t>II.</w:t>
      </w:r>
      <w:r>
        <w:t xml:space="preserve"> Die Antragsgegnerin wird verpflichtet, das Angebot der ProtectIT SE im Rahmen der Neuwertung ausschließlich auf Basis des ursprünglich eingereichten Reaktionszeitenkonzepts (Datum: 31.03.2026) zu berücksichtigen; die am 10.04.2026 übersandte überarbeitete Fassung darf nicht gewertet werden.</w:t>
      </w:r>
    </w:p>
    <w:p>
      <w:pPr>
        <w:jc w:val="left"/>
      </w:pPr>
      <w:r>
        <w:rPr>
          <w:b/>
        </w:rPr>
        <w:t>III.</w:t>
      </w:r>
      <w:r>
        <w:t xml:space="preserve"> Der Antragsgegnerin wird untersagt, den Zuschlag zu erteilen, bevor die Neuwertung abgeschlossen und den Bietern das Informationsschreiben gem. § 134 GWB übermittelt wurde.</w:t>
      </w:r>
    </w:p>
    <w:p>
      <w:pPr>
        <w:jc w:val="left"/>
      </w:pPr>
      <w:r>
        <w:rPr>
          <w:b/>
        </w:rPr>
        <w:t>IV.</w:t>
      </w:r>
      <w:r>
        <w:t xml:space="preserve"> Die Kosten des Nachprüfungsverfahrens (Verfahrensgebühr: 6.250 EUR) trägt die Antragsgegnerin.</w:t>
      </w:r>
    </w:p>
    <w:p>
      <w:pPr>
        <w:jc w:val="left"/>
      </w:pPr>
      <w:r>
        <w:rPr>
          <w:b/>
        </w:rPr>
        <w:t>V.</w:t>
      </w:r>
      <w:r>
        <w:t xml:space="preserve"> Die Antragsgegnerin trägt die zur zweckentsprechenden Rechtsverfolgung notwendigen Aufwendungen der Antragstellerin (anwaltliche Kosten nach RVG).</w:t>
      </w:r>
    </w:p>
    <w:p>
      <w:pPr>
        <w:jc w:val="left"/>
      </w:pPr>
      <w:r>
        <w:rPr>
          <w:b/>
        </w:rPr>
        <w:t>VI.</w:t>
      </w:r>
      <w:r>
        <w:t xml:space="preserve"> Im Übrigen wird der Antrag (Feststellung De-facto-Vergabe SOC-Pilotbetrieb 12/2025) zurückgewiesen; insoweit ist die Vergabekammer nicht zuständig.</w:t>
      </w:r>
    </w:p>
    <w:p/>
    <w:p>
      <w:pPr>
        <w:pStyle w:val="Heading2"/>
      </w:pPr>
      <w:r>
        <w:rPr>
          <w:rFonts w:ascii="Times New Roman" w:hAnsi="Times New Roman"/>
        </w:rPr>
        <w:t>Gründe</w:t>
      </w:r>
    </w:p>
    <w:p>
      <w:pPr>
        <w:pStyle w:val="Heading3"/>
      </w:pPr>
      <w:r>
        <w:rPr>
          <w:rFonts w:ascii="Times New Roman" w:hAnsi="Times New Roman"/>
        </w:rPr>
        <w:t>A. Zulässigkeit</w:t>
      </w:r>
    </w:p>
    <w:p>
      <w:pPr>
        <w:jc w:val="left"/>
      </w:pPr>
      <w:r>
        <w:t>Der Nachprüfungsantrag ist zulässig. Die Vergabekammer des Bundes ist zuständig (§ 159 Abs. 1 Nr. 1 GWB, § 55 BSIG: KRITIS-Beschaffung). Der Schwellenwert ist überschritten. Die Rügefrist war gewahrt (Kenntnis 14.04.2026, Rüge 17.04.2026 = 3. Werktag = unverzüglich i.S.d. § 160 Abs. 3 Nr. 1 GWB).</w:t>
      </w:r>
    </w:p>
    <w:p>
      <w:pPr>
        <w:pStyle w:val="Heading3"/>
      </w:pPr>
      <w:r>
        <w:rPr>
          <w:rFonts w:ascii="Times New Roman" w:hAnsi="Times New Roman"/>
        </w:rPr>
        <w:t>B. Begründetheit</w:t>
      </w:r>
    </w:p>
    <w:p>
      <w:pPr>
        <w:pStyle w:val="Heading3"/>
      </w:pPr>
      <w:r>
        <w:rPr>
          <w:rFonts w:ascii="Times New Roman" w:hAnsi="Times New Roman"/>
        </w:rPr>
        <w:t>B.I Vergabeverstoß 1: Unzulässiger Bieterausschluss (§§ 57 VgV, 122 GWB)</w:t>
      </w:r>
    </w:p>
    <w:p>
      <w:pPr>
        <w:jc w:val="left"/>
      </w:pPr>
      <w:r>
        <w:rPr>
          <w:b/>
        </w:rPr>
        <w:t>1.</w:t>
      </w:r>
      <w:r>
        <w:t xml:space="preserve"> Das Eignungskriterium T-2 der Vergabeunterlagen fordert Referenzen bei „öffentlichen Auftraggebern oder KRITIS-Betreibern; </w:t>
      </w:r>
      <w:r>
        <w:rPr>
          <w:b/>
        </w:rPr>
        <w:t>bevorzugt</w:t>
      </w:r>
      <w:r>
        <w:t xml:space="preserve"> im Sektor Verkehr oder Energie". Der Wortlaut „bevorzugt" begründet nach dem objektiven Empfängerhorizont eines fachkundigen Bieters keine zwingende KO-Anforderung, sondern ein qualitatives Differenzierungsmerkmal im Rahmen der Wertung (Zuschlagskriterium ZK-4).</w:t>
      </w:r>
    </w:p>
    <w:p>
      <w:pPr>
        <w:jc w:val="left"/>
      </w:pPr>
      <w:r>
        <w:rPr>
          <w:b/>
        </w:rPr>
        <w:t>2.</w:t>
      </w:r>
      <w:r>
        <w:t xml:space="preserve"> Die Vergabestelle hat keine vorherige, dokumentierte Auslegungsentscheidung vorgelegt, aus der sich ergibt, dass T-2 als KO-Kriterium angewendet werden sollte. Die Auslegungsentscheidung fiel erst während der Eignungsprüfung (Vergabevermerk S. 23). Dies verletzt den Transparenzgrundsatz (§ 97 Abs. 1 GWB) und das Gebot der Willkürfreiheit der Eignungsprüfung.</w:t>
      </w:r>
    </w:p>
    <w:p>
      <w:pPr>
        <w:jc w:val="left"/>
      </w:pPr>
      <w:r>
        <w:rPr>
          <w:b/>
        </w:rPr>
        <w:t>3.</w:t>
      </w:r>
      <w:r>
        <w:t xml:space="preserve"> Die Referenz VVS Stuttgart ist eine qualifizierte Referenz im Sinne des T-2, da der VVS als Koordinator eines KRITIS-relevanten ÖPNV-Verbunds (Fahrgastinformationssysteme) selbst KRITIS-Betreiber im Sektor Verkehr ist.</w:t>
      </w:r>
    </w:p>
    <w:p>
      <w:pPr>
        <w:jc w:val="left"/>
      </w:pPr>
      <w:r>
        <w:t xml:space="preserve">Vgl. </w:t>
      </w:r>
      <w:r>
        <w:rPr>
          <w:b/>
        </w:rPr>
        <w:t>BGH, Beschluss v. 07.01.2014 – X ZB 15/13</w:t>
      </w:r>
      <w:r>
        <w:t xml:space="preserve"> (NZBau 2014, 185): Eignungsanforderungen sind nach dem Wortlaut der Vergabeunterlagen, nicht nach einer erst nachträglich gebildeten Auslegung zu beurteilen.</w:t>
      </w:r>
    </w:p>
    <w:p>
      <w:pPr>
        <w:jc w:val="left"/>
      </w:pPr>
      <w:r>
        <w:t xml:space="preserve">Vgl. </w:t>
      </w:r>
      <w:r>
        <w:rPr>
          <w:b/>
        </w:rPr>
        <w:t>OLG Düsseldorf, Beschluss v. 29.06.2016 – Verg 5/16</w:t>
      </w:r>
      <w:r>
        <w:t>: Eine Verengung auf spezifische Unterbranchen, die in den Unterlagen nicht angelegt ist, ist unverhältnismäßig.</w:t>
      </w:r>
    </w:p>
    <w:p>
      <w:pPr>
        <w:pStyle w:val="Heading3"/>
      </w:pPr>
      <w:r>
        <w:rPr>
          <w:rFonts w:ascii="Times New Roman" w:hAnsi="Times New Roman"/>
        </w:rPr>
        <w:t>B.II Vergabeverstoß 2: Unzulässige Angebotsänderung ProtectIT SE (§ 15 Abs. 5 VgV)</w:t>
      </w:r>
    </w:p>
    <w:p>
      <w:pPr>
        <w:jc w:val="left"/>
      </w:pPr>
      <w:r>
        <w:t>Die am 10.04.2026 übersandte überarbeitete Fassung des Reaktionszeitenkonzepts der ProtectIT SE enthält eine inhaltliche Änderung: Die Reaktionszeit für Severity-2-Vorfälle wurde von „30 Minuten" auf „60 Minuten" geändert. Diese Änderung ist eine wesentliche inhaltliche Modifikation, keine bloße Erläuterung des eingereichten Angebots.</w:t>
      </w:r>
    </w:p>
    <w:p>
      <w:pPr>
        <w:jc w:val="left"/>
      </w:pPr>
      <w:r>
        <w:t>Im Offenen Verfahren sind Nachverhandlungen gem. § 15 Abs. 5 VgV unzulässig. Das geänderte Konzept durfte daher nicht der Wertung zugrunde gelegt werden. Die Vergabestelle hat durch Akzeptanz dieser Änderung die Bietergleichheit verletzt (§ 97 Abs. 2 GWB).</w:t>
      </w:r>
    </w:p>
    <w:p>
      <w:pPr>
        <w:jc w:val="left"/>
      </w:pPr>
      <w:r>
        <w:t xml:space="preserve">Vgl. </w:t>
      </w:r>
      <w:r>
        <w:rPr>
          <w:b/>
        </w:rPr>
        <w:t>OLG München, Beschluss v. 25.04.2019 – Verg 3/19</w:t>
      </w:r>
      <w:r>
        <w:t>: Eine Änderung konkreter Leistungsparameter nach Angebotsöffnung ist keine Aufklärung, sondern eine Nachverhandlung.</w:t>
      </w:r>
    </w:p>
    <w:p>
      <w:pPr>
        <w:pStyle w:val="Heading3"/>
      </w:pPr>
      <w:r>
        <w:rPr>
          <w:rFonts w:ascii="Times New Roman" w:hAnsi="Times New Roman"/>
        </w:rPr>
        <w:t>B.III Unzuständigkeit für De-facto-Vergabe</w:t>
      </w:r>
    </w:p>
    <w:p>
      <w:pPr>
        <w:jc w:val="left"/>
      </w:pPr>
      <w:r>
        <w:t>Die Frage des SOC-Pilotbetriebs 12/2025 ist nicht Gegenstand des vorliegenden Nachprüfungsverfahrens. Für die Feststellung einer De-facto-Vergabe nach § 135 GWB ist entweder ein gesonderter Nachprüfungsantrag oder ein Verfahren vor dem OLG Düsseldorf (§ 135 Abs. 2 GWB) einzuleiten.</w:t>
      </w:r>
    </w:p>
    <w:p/>
    <w:p>
      <w:pPr>
        <w:jc w:val="left"/>
      </w:pPr>
      <w:r>
        <w:rPr>
          <w:b/>
        </w:rPr>
        <w:t>Rechtsbehelfsbelehrung:</w:t>
      </w:r>
    </w:p>
    <w:p>
      <w:pPr>
        <w:jc w:val="left"/>
      </w:pPr>
      <w:r>
        <w:t>Gegen diesen Beschluss ist die sofortige Beschwerde beim Oberlandesgericht Düsseldorf statthaft (§ 171 GWB). Frist: 2 Wochen ab Zustellung.</w:t>
      </w:r>
    </w:p>
    <w:p>
      <w:pPr>
        <w:jc w:val="left"/>
      </w:pPr>
      <w:r>
        <w:t>Bonn, 25. Juni 2026</w:t>
      </w:r>
    </w:p>
    <w:p>
      <w:pPr>
        <w:jc w:val="left"/>
      </w:pPr>
      <w:r>
        <w:rPr>
          <w:b/>
        </w:rPr>
        <w:t>gez. Dr. Elfriede Böhnke</w:t>
      </w:r>
      <w:r>
        <w:t xml:space="preserve"> (Vorsitzende)</w:t>
      </w:r>
    </w:p>
    <w:p>
      <w:pPr>
        <w:jc w:val="left"/>
      </w:pPr>
      <w:r>
        <w:rPr>
          <w:b/>
        </w:rPr>
        <w:t>gez. Dr. Claudia Vogt</w:t>
      </w:r>
      <w:r>
        <w:t xml:space="preserve"> (Berichterstatterin)</w:t>
      </w:r>
    </w:p>
    <w:p>
      <w:pPr>
        <w:jc w:val="left"/>
      </w:pPr>
      <w:r>
        <w:rPr>
          <w:b/>
        </w:rPr>
        <w:t>gez. Thorsten Hausmann</w:t>
      </w:r>
      <w:r>
        <w:t xml:space="preserve"> (Beisitzer)</w:t>
      </w:r>
    </w:p>
    <w:p/>
    <w:p>
      <w:pPr>
        <w:jc w:val="left"/>
      </w:pPr>
      <w:r>
        <w:rPr>
          <w:i/>
        </w:rPr>
        <w:t>Dokument-Ende Aktenstück 17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