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– De-facto-Vergabe: Sachverhaltsdarstellung SOC-Pilotbetrieb 12/2025</w:t>
      </w:r>
    </w:p>
    <w:p>
      <w:pPr>
        <w:jc w:val="left"/>
      </w:pPr>
      <w:r>
        <w:rPr>
          <w:b/>
        </w:rPr>
        <w:t>Aktenzeichen:</w:t>
      </w:r>
      <w:r>
        <w:t xml:space="preserve"> VK 1-32/26 (Hauptverfahren) / gesondertes Verfahren vorgesehen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Datum:</w:t>
      </w:r>
      <w:r>
        <w:t xml:space="preserve"> 30.06.2026</w:t>
      </w:r>
    </w:p>
    <w:p>
      <w:pPr>
        <w:jc w:val="left"/>
      </w:pPr>
      <w:r>
        <w:rPr>
          <w:b/>
        </w:rPr>
        <w:t>Erstellt von:</w:t>
      </w:r>
      <w:r>
        <w:t xml:space="preserve"> RA Dr. Constantin Bährens (interne Sachverhaltsdarstellung)</w:t>
      </w:r>
    </w:p>
    <w:p/>
    <w:p>
      <w:pPr>
        <w:pStyle w:val="Heading2"/>
      </w:pPr>
      <w:r>
        <w:rPr>
          <w:rFonts w:ascii="Times New Roman" w:hAnsi="Times New Roman"/>
        </w:rPr>
        <w:t>Sachverhaltsdarstellung: Verdacht auf De-facto-Vergabe</w:t>
      </w:r>
    </w:p>
    <w:p>
      <w:pPr>
        <w:pStyle w:val="Heading3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Die NSV Nahverkehr Schwerin GmbH ist seit dem BSI-Audit November 2024 verpflichtet, im Rahmen der KRITIS-Nachweispflichten nach § 8a BSIG erhebliche Lücken im Bereich Security Operations zu schließen. Der Auditor (BSI-anerkannte Prüfstelle, Kürzel: ISO-2024-NSV-11) hat insbesondere die fehlende SOC-Anbindung und die unzureichende Incident-Detection-Kapazität beanstandet.</w:t>
      </w:r>
    </w:p>
    <w:p>
      <w:pPr>
        <w:pStyle w:val="Heading3"/>
      </w:pPr>
      <w:r>
        <w:rPr>
          <w:rFonts w:ascii="Times New Roman" w:hAnsi="Times New Roman"/>
        </w:rPr>
        <w:t>2. Rechercheergebnisse zur De-facto-Vergabe</w:t>
      </w:r>
    </w:p>
    <w:p>
      <w:pPr>
        <w:jc w:val="left"/>
      </w:pPr>
      <w:r>
        <w:t>Aus einem Handelsregisterauszug und einem im Rahmen des Informationsfreiheitsgesetzes M-V (IFG MV) gestellten Auskunftsantrag ergeben sich folgende Indizien:</w:t>
      </w:r>
    </w:p>
    <w:p>
      <w:pPr>
        <w:jc w:val="left"/>
      </w:pPr>
      <w:r>
        <w:rPr>
          <w:b/>
        </w:rPr>
        <w:t>Indiz 1: Vertrag „SOC-Pilotbetrieb"</w:t>
      </w:r>
    </w:p>
    <w:p>
      <w:pPr>
        <w:jc w:val="left"/>
      </w:pPr>
      <w:r>
        <w:t>Im Bundesanzeiger findet sich keine Bekanntmachung für einen Auftrag „SOC-Pilotbetrieb" oder einen gleichwertigen Vertrag zwischen der NSV und einem externen SOC-Betreiber.</w:t>
      </w:r>
    </w:p>
    <w:p>
      <w:pPr>
        <w:jc w:val="left"/>
      </w:pPr>
      <w:r>
        <w:t>Aus IFG-Anfragen bei der Landeshauptstadt Schwerin (IFG MV § 2 Abs. 1) ergibt sich:</w:t>
      </w:r>
    </w:p>
    <w:p>
      <w:pPr>
        <w:pStyle w:val="ListBullet"/>
      </w:pPr>
      <w:r>
        <w:t>Die NSV schloss im Dezember 2025 einen Vertrag mit einem externen Dienstleister über „SOC-Pilotbetrieb und Sicherheitsmonitoring" mit einer Laufzeit bis 30.06.2026.</w:t>
      </w:r>
    </w:p>
    <w:p>
      <w:pPr>
        <w:pStyle w:val="ListBullet"/>
      </w:pPr>
      <w:r>
        <w:t>Die Vergabestelle hat in der mündlichen Verhandlung vor der VK am 04.06.2026 angegeben, der Auftragswert habe 48.000 EUR netto betragen.</w:t>
      </w:r>
    </w:p>
    <w:p>
      <w:pPr>
        <w:jc w:val="left"/>
      </w:pPr>
      <w:r>
        <w:rPr>
          <w:b/>
        </w:rPr>
        <w:t>Indiz 2: Zusammenhang mit ProtectIT SE</w:t>
      </w:r>
    </w:p>
    <w:p>
      <w:pPr>
        <w:jc w:val="left"/>
      </w:pPr>
      <w:r>
        <w:t>Aus einem Handelsregistereintrag vom 15.12.2025 und einem LinkedIn-Post eines ProtectIT-Mitarbeiters (Datum: 08.01.2026) ergibt sich der dringende Verdacht, dass ProtectIT SE der Auftragnehmer des SOC-Pilotbetriebs ist. Der LinkedIn-Post enthält die Formulierung: „Freut mich, mit der Nahverkehr Schwerin GmbH in 2026 als SOC-Partner zu starten!"</w:t>
      </w:r>
    </w:p>
    <w:p>
      <w:pPr>
        <w:pStyle w:val="Heading3"/>
      </w:pPr>
      <w:r>
        <w:rPr>
          <w:rFonts w:ascii="Times New Roman" w:hAnsi="Times New Roman"/>
        </w:rPr>
        <w:t>3. Rechtliche Bewertung</w:t>
      </w:r>
    </w:p>
    <w:p>
      <w:pPr>
        <w:pStyle w:val="Heading3"/>
      </w:pPr>
      <w:r>
        <w:rPr>
          <w:rFonts w:ascii="Times New Roman" w:hAnsi="Times New Roman"/>
        </w:rPr>
        <w:t>3.1 Schwellenwertfrage</w:t>
      </w:r>
    </w:p>
    <w:p>
      <w:pPr>
        <w:jc w:val="left"/>
      </w:pPr>
      <w:r>
        <w:t>Die Vergabestelle behauptet, der Auftragswert habe 48.000 EUR netto betragen. Damit liege er unter dem nationalen Schwellenwert für freihändige Vergaben ohne Vergabebekanntmachung (§ 8 UVgO: bis 100.000 EUR freihändig ohne Bekanntmachung).</w:t>
      </w:r>
    </w:p>
    <w:p>
      <w:pPr>
        <w:jc w:val="left"/>
      </w:pPr>
      <w:r>
        <w:t>Diese Einschätzung ist aus mehreren Gründen zweifelhaft:</w:t>
      </w:r>
    </w:p>
    <w:p>
      <w:pPr>
        <w:jc w:val="left"/>
      </w:pPr>
      <w:r>
        <w:rPr>
          <w:b/>
        </w:rPr>
        <w:t>a) Gesamtbetrachtung und unzulässige Auftragsstückelung:</w:t>
      </w:r>
    </w:p>
    <w:p>
      <w:pPr>
        <w:jc w:val="left"/>
      </w:pPr>
      <w:r>
        <w:t>Wenn der SOC-Pilotbetrieb als Vorläufer des streitgegenständlichen Hauptauftrags (LH-SN-Cyber-SOC-NSV-2026) angelegt war und ProtectIT SE dadurch einen faktischen Bewerbervorteil (Marktzugang, Kenntnis der NSV-Infrastruktur) erhielt, stellt der Pilot einen Teil des Gesamtauftrags dar. In diesem Fall wäre der Gesamtauftragswert (2.800.000 EUR + 48.000 EUR) anzusetzen; der EU-Schwellenwert wäre eindeutig überschritten.</w:t>
      </w:r>
    </w:p>
    <w:p>
      <w:pPr>
        <w:jc w:val="left"/>
      </w:pPr>
      <w:r>
        <w:t>§ 3 Abs. 2 VgV verbietet die Stückelung von Aufträgen zur Unterschreitung von Schwellenwerten. Die OLG-Rechtsprechung (vgl. OLG Celle, Beschluss v. 19.02.2015 – 13 Verg 8/14) ordnet auch zeitlich vorgelagerte Aufträge dem Gesamtauftrag zu, wenn ein funktionaler Zusammenhang besteht.</w:t>
      </w:r>
    </w:p>
    <w:p>
      <w:pPr>
        <w:jc w:val="left"/>
      </w:pPr>
      <w:r>
        <w:rPr>
          <w:b/>
        </w:rPr>
        <w:t>b) Notstandsvergabe fraglich:</w:t>
      </w:r>
    </w:p>
    <w:p>
      <w:pPr>
        <w:jc w:val="left"/>
      </w:pPr>
      <w:r>
        <w:t>Die Vergabestelle hat in der VK-Verhandlung eine „Notstandsvergabe" nach § 14 Abs. 4 Nr. 3 VgV geltend gemacht. Eine Notstandsvergabe setzt voraus, dass unvorhergesehene Ereignisse eine dringende, nicht aufschiebbare Vergabe erfordern. Der BSI-Audit-Bericht vom November 2024 war jedoch vorhersehbar (KRITIS-Nachweisverfahren alle 2 Jahre). Zwischen November 2024 und Dezember 2025 lagen 13 Monate – ausreichend für ein vereinfachtes Vergabeverfahren.</w:t>
      </w:r>
    </w:p>
    <w:p>
      <w:pPr>
        <w:pStyle w:val="Heading3"/>
      </w:pPr>
      <w:r>
        <w:rPr>
          <w:rFonts w:ascii="Times New Roman" w:hAnsi="Times New Roman"/>
        </w:rPr>
        <w:t>3.2 Rechtsfolge: De-facto-Vergabe § 135 GWB</w:t>
      </w:r>
    </w:p>
    <w:p>
      <w:pPr>
        <w:jc w:val="left"/>
      </w:pPr>
      <w:r>
        <w:t>Eine Direktvergabe oberhalb der EU-Schwellenwerte ohne vorherige Veröffentlichung einer Auftragsbekanntmachung führt zur Unwirksamkeit des Vertrages gem. § 135 Abs. 1 Nr. 2 GWB (de-facto-Vergabe).</w:t>
      </w:r>
    </w:p>
    <w:p>
      <w:pPr>
        <w:jc w:val="left"/>
      </w:pPr>
      <w:r>
        <w:t>Die Unwirksamkeit kann nur geltend gemacht werden, wenn:</w:t>
      </w:r>
    </w:p>
    <w:p>
      <w:pPr>
        <w:pStyle w:val="ListBullet"/>
      </w:pPr>
      <w:r>
        <w:t>Der Antrag auf Feststellung der Unwirksamkeit spätestens 30 Tage nach Kenntnis des Vertragsschlusses (§ 135 Abs. 2 Satz 1 GWB) beim OLG Düsseldorf eingereicht wird, oder</w:t>
      </w:r>
    </w:p>
    <w:p>
      <w:pPr>
        <w:pStyle w:val="ListBullet"/>
      </w:pPr>
      <w:r>
        <w:t>Innerhalb von 6 Monaten nach Vertragsschluss (§ 135 Abs. 2 Satz 2 GWB) – also bis spätestens Ende Juni 2026 –, wenn der Vertragsschluss bekannt war.</w:t>
      </w:r>
    </w:p>
    <w:p>
      <w:pPr>
        <w:pStyle w:val="Heading3"/>
      </w:pPr>
      <w:r>
        <w:rPr>
          <w:rFonts w:ascii="Times New Roman" w:hAnsi="Times New Roman"/>
        </w:rPr>
        <w:t>4. Handlungsempfehlung</w:t>
      </w:r>
    </w:p>
    <w:p>
      <w:pPr>
        <w:jc w:val="left"/>
      </w:pPr>
      <w:r>
        <w:t>Die CyberShield Defense GmbH sollte unverzüglich beim Oberlandesgericht Düsseldorf eine Feststellungsklage nach § 135 Abs. 2 GWB erheben. Der Schaden für CyberShield besteht in dem Wettbewerbsvorteil, den ProtectIT SE durch den De-facto-Auftrag im Hauptvergabeverfahren erlangt hat (Infrastrukturkenntnisse NSV, faktischer Incumbent-Vorteil).</w:t>
      </w:r>
    </w:p>
    <w:p/>
    <w:p>
      <w:pPr>
        <w:jc w:val="left"/>
      </w:pPr>
      <w:r>
        <w:rPr>
          <w:i/>
        </w:rPr>
        <w:t>Dokument-Ende Aktenstück 19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