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– Klageschrift De-facto-Vergabe (§ 135 Abs. 2 GWB)</w:t>
      </w:r>
    </w:p>
    <w:p>
      <w:pPr>
        <w:jc w:val="left"/>
      </w:pPr>
      <w:r>
        <w:rPr>
          <w:b/>
        </w:rPr>
        <w:t>Aktenzeichen OLG:</w:t>
      </w:r>
      <w:r>
        <w:t xml:space="preserve"> [noch nicht zugeteilt, Einreichung 27.06.2026]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 / SOC-Pilotbetrieb NSV 12/2025</w:t>
      </w:r>
    </w:p>
    <w:p>
      <w:pPr>
        <w:jc w:val="left"/>
      </w:pPr>
      <w:r>
        <w:rPr>
          <w:b/>
        </w:rPr>
        <w:t>Datum:</w:t>
      </w:r>
      <w:r>
        <w:t xml:space="preserve"> 27.06.2026</w:t>
      </w:r>
    </w:p>
    <w:p>
      <w:pPr>
        <w:jc w:val="left"/>
      </w:pPr>
      <w:r>
        <w:rPr>
          <w:b/>
        </w:rPr>
        <w:t>Von:</w:t>
      </w:r>
      <w:r>
        <w:t xml:space="preserve"> RA Dr. Constantin Bährens</w:t>
      </w:r>
    </w:p>
    <w:p/>
    <w:p>
      <w:pPr>
        <w:jc w:val="left"/>
      </w:pPr>
      <w:r>
        <w:t>Kanzlei Bährens Vergaberecht</w:t>
      </w:r>
    </w:p>
    <w:p>
      <w:pPr>
        <w:jc w:val="left"/>
      </w:pPr>
      <w:r>
        <w:t>Unter den Linden 48, 10117 Berlin</w:t>
      </w:r>
    </w:p>
    <w:p>
      <w:pPr>
        <w:jc w:val="left"/>
      </w:pPr>
      <w:r>
        <w:rPr>
          <w:b/>
        </w:rPr>
        <w:t>Per Fax und beA</w:t>
      </w:r>
    </w:p>
    <w:p>
      <w:pPr>
        <w:jc w:val="left"/>
      </w:pPr>
      <w:r>
        <w:t>An das</w:t>
      </w:r>
    </w:p>
    <w:p>
      <w:pPr>
        <w:jc w:val="left"/>
      </w:pPr>
      <w:r>
        <w:t>Oberlandesgericht Düsseldorf</w:t>
      </w:r>
    </w:p>
    <w:p>
      <w:pPr>
        <w:jc w:val="left"/>
      </w:pPr>
      <w:r>
        <w:t>– Vergabesenat –</w:t>
      </w:r>
    </w:p>
    <w:p>
      <w:pPr>
        <w:jc w:val="left"/>
      </w:pPr>
      <w:r>
        <w:t>Cecilienallee 3, 40474 Düsseldorf</w:t>
      </w:r>
    </w:p>
    <w:p>
      <w:pPr>
        <w:jc w:val="left"/>
      </w:pPr>
      <w:r>
        <w:t>Berlin, 27. Juni 2026</w:t>
      </w:r>
    </w:p>
    <w:p/>
    <w:p>
      <w:pPr>
        <w:pStyle w:val="Heading2"/>
      </w:pPr>
      <w:r>
        <w:rPr>
          <w:rFonts w:ascii="Times New Roman" w:hAnsi="Times New Roman"/>
        </w:rPr>
        <w:t>ANTRAG GEM. § 135 ABS. 2 GWB (Feststellung der Unwirksamkeit eines De-facto-Vertrages)</w:t>
      </w:r>
    </w:p>
    <w:p>
      <w:pPr>
        <w:jc w:val="left"/>
      </w:pPr>
      <w:r>
        <w:rPr>
          <w:b/>
        </w:rPr>
        <w:t>Antragstellerin:</w:t>
      </w:r>
    </w:p>
    <w:p>
      <w:pPr>
        <w:jc w:val="left"/>
      </w:pPr>
      <w:r>
        <w:t>CyberShield Defense GmbH, Alexanderstraße 7, 10178 Berlin</w:t>
      </w:r>
    </w:p>
    <w:p>
      <w:pPr>
        <w:jc w:val="left"/>
      </w:pPr>
      <w:r>
        <w:t>vertreten durch RA Dr. Constantin Bährens</w:t>
      </w:r>
    </w:p>
    <w:p>
      <w:pPr>
        <w:jc w:val="left"/>
      </w:pPr>
      <w:r>
        <w:rPr>
          <w:b/>
        </w:rPr>
        <w:t>Antragsgegnerin:</w:t>
      </w:r>
    </w:p>
    <w:p>
      <w:pPr>
        <w:jc w:val="left"/>
      </w:pPr>
      <w:r>
        <w:t>Nahverkehr Schwerin GmbH, Wismarsche Str. 10, 19055 Schwerin</w:t>
      </w:r>
    </w:p>
    <w:p>
      <w:pPr>
        <w:jc w:val="left"/>
      </w:pPr>
      <w:r>
        <w:t>(KRITIS-Betreiber, handelnd für sich; Auftraggeberin des Pilotvertrags)</w:t>
      </w:r>
    </w:p>
    <w:p>
      <w:pPr>
        <w:jc w:val="left"/>
      </w:pPr>
      <w:r>
        <w:rPr>
          <w:b/>
        </w:rPr>
        <w:t>Beiladung (beantragt):</w:t>
      </w:r>
    </w:p>
    <w:p>
      <w:pPr>
        <w:jc w:val="left"/>
      </w:pPr>
      <w:r>
        <w:t>ProtectIT SE, Friedrich-Ebert-Allee 112, 53113 Bonn</w:t>
      </w:r>
    </w:p>
    <w:p>
      <w:pPr>
        <w:jc w:val="left"/>
      </w:pPr>
      <w:r>
        <w:t>(mutmaßliche Auftragnehmerin)</w:t>
      </w:r>
    </w:p>
    <w:p/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pStyle w:val="ListNumber"/>
      </w:pPr>
      <w:r>
        <w:t>Die Antragsgegnerin hat im Dezember 2025 einen Vertrag über SOC-Dienstleistungen („SOC-Pilotbetrieb") mit einem externen Dienstleister geschlossen, ohne ein europaweites Vergabeverfahren durchzuführen.</w:t>
      </w:r>
    </w:p>
    <w:p>
      <w:pPr>
        <w:pStyle w:val="ListNumber"/>
      </w:pPr>
      <w:r>
        <w:t>Aufgrund der im VK-Verfahren VK 1-32/26 vorgelegten Informationen und der LinkedIn-Recherche (Mitarbeiter-Post ProtectIT SE, 08.01.2026) ist der dringende Verdacht begründet, dass Auftragnehmerin die ProtectIT SE ist.</w:t>
      </w:r>
    </w:p>
    <w:p>
      <w:pPr>
        <w:pStyle w:val="ListNumber"/>
      </w:pPr>
      <w:r>
        <w:t>Der Vertragsschluss erfolgte ohne Veröffentlichung einer Auftragsbekanntmachung im Supplement zum Amtsblatt der EU (TED).</w:t>
      </w:r>
    </w:p>
    <w:p>
      <w:pPr>
        <w:pStyle w:val="ListNumber"/>
      </w:pPr>
      <w:r>
        <w:t>Die Antragstellerin erhielt Kenntnis von dem Vertragsschluss durch Informationen aus dem VK-Verfahren VK 1-32/26 (Stellungnahme der Vergabestelle in der Sitzung vom 04.06.2026). Die Antragsfrist des § 135 Abs. 2 Satz 1 GWB (30 Tage ab Kenntnis) läuft am 04.07.2026 ab.</w:t>
      </w:r>
    </w:p>
    <w:p>
      <w:pPr>
        <w:pStyle w:val="Heading2"/>
      </w:pPr>
      <w:r>
        <w:rPr>
          <w:rFonts w:ascii="Times New Roman" w:hAnsi="Times New Roman"/>
        </w:rPr>
        <w:t>II. Antrag</w:t>
      </w:r>
    </w:p>
    <w:p>
      <w:pPr>
        <w:jc w:val="left"/>
      </w:pPr>
      <w:r>
        <w:t>Die Antragstellerin beantragt:</w:t>
      </w:r>
    </w:p>
    <w:p>
      <w:pPr>
        <w:jc w:val="left"/>
      </w:pPr>
      <w:r>
        <w:rPr>
          <w:b/>
        </w:rPr>
        <w:t>1.</w:t>
      </w:r>
      <w:r>
        <w:t xml:space="preserve"> Es wird festgestellt, dass der zwischen der Nahverkehr Schwerin GmbH und der ProtectIT SE (mutmaßlich) im Dezember 2025 geschlossene Vertrag über SOC-Pilotbetrieb und Sicherheitsmonitoring gemäß § 135 Abs. 1 Nr. 2 GWB </w:t>
      </w:r>
      <w:r>
        <w:rPr>
          <w:b/>
        </w:rPr>
        <w:t>von Anfang an unwirksam</w:t>
      </w:r>
      <w:r>
        <w:t xml:space="preserve"> ist.</w:t>
      </w:r>
    </w:p>
    <w:p>
      <w:pPr>
        <w:jc w:val="left"/>
      </w:pPr>
      <w:r>
        <w:rPr>
          <w:b/>
        </w:rPr>
        <w:t>2.</w:t>
      </w:r>
      <w:r>
        <w:t xml:space="preserve"> Die Antragsgegnerin wird verpflichtet, sämtliche Leistungen aus dem festgestellten Vertrag mit sofortiger Wirkung einzustellen.</w:t>
      </w:r>
    </w:p>
    <w:p>
      <w:pPr>
        <w:jc w:val="left"/>
      </w:pPr>
      <w:r>
        <w:rPr>
          <w:b/>
        </w:rPr>
        <w:t>3.</w:t>
      </w:r>
      <w:r>
        <w:t xml:space="preserve"> Die Kosten des Verfahrens trägt die Antragsgegnerin.</w:t>
      </w:r>
    </w:p>
    <w:p>
      <w:pPr>
        <w:pStyle w:val="Heading2"/>
      </w:pPr>
      <w:r>
        <w:rPr>
          <w:rFonts w:ascii="Times New Roman" w:hAnsi="Times New Roman"/>
        </w:rPr>
        <w:t>III. Begründung</w:t>
      </w:r>
    </w:p>
    <w:p>
      <w:pPr>
        <w:pStyle w:val="Heading3"/>
      </w:pPr>
      <w:r>
        <w:rPr>
          <w:rFonts w:ascii="Times New Roman" w:hAnsi="Times New Roman"/>
        </w:rPr>
        <w:t>1. Schwellenwertüberschreitung (Gesamtbetrachtung)</w:t>
      </w:r>
    </w:p>
    <w:p>
      <w:pPr>
        <w:jc w:val="left"/>
      </w:pPr>
      <w:r>
        <w:t>Der SOC-Pilotbetrieb steht in unmittelbarem funktionalem Zusammenhang mit dem Hauptauftrag LH-SN-Cyber-SOC-NSV-2026 (geschätzter Auftragswert: 2.800.000 EUR). Nach § 3 Abs. 2 VgV ist eine unzulässige Auftragsstückelung anzunehmen, wenn gleichartige Leistungen künstlich aufgespalten werden, um Schwellenwerte zu unterschreiten.</w:t>
      </w:r>
    </w:p>
    <w:p>
      <w:pPr>
        <w:jc w:val="left"/>
      </w:pPr>
      <w:r>
        <w:t>Der Sachzusammenhang ist evident:</w:t>
      </w:r>
    </w:p>
    <w:p>
      <w:pPr>
        <w:pStyle w:val="ListBullet"/>
      </w:pPr>
      <w:r>
        <w:t>Beide Aufträge betreffen SOC-Dienstleistungen für denselben Auftraggeber (NSV)</w:t>
      </w:r>
    </w:p>
    <w:p>
      <w:pPr>
        <w:pStyle w:val="ListBullet"/>
      </w:pPr>
      <w:r>
        <w:t>Der Pilot läuft bis 30.06.2026, der Hauptauftrag beginnt voraussichtlich 01.10.2026</w:t>
      </w:r>
    </w:p>
    <w:p>
      <w:pPr>
        <w:pStyle w:val="ListBullet"/>
      </w:pPr>
      <w:r>
        <w:t>Der Pilot hat ProtectIT SE einen strukturellen Informationsvorteil verschafft (Kenntnis der NSV-Infrastruktur, etablierte VPN-Verbindung, Ansprechpartner)</w:t>
      </w:r>
    </w:p>
    <w:p>
      <w:pPr>
        <w:jc w:val="left"/>
      </w:pPr>
      <w:r>
        <w:t>Damit überschreitet der Gesamtauftrag den EU-Schwellenwert; eine europaweite Bekanntmachung war zwingend erforderlich.</w:t>
      </w:r>
    </w:p>
    <w:p>
      <w:pPr>
        <w:pStyle w:val="Heading3"/>
      </w:pPr>
      <w:r>
        <w:rPr>
          <w:rFonts w:ascii="Times New Roman" w:hAnsi="Times New Roman"/>
        </w:rPr>
        <w:t>2. Keine wirksame Notstandsvergabe</w:t>
      </w:r>
    </w:p>
    <w:p>
      <w:pPr>
        <w:jc w:val="left"/>
      </w:pPr>
      <w:r>
        <w:t>Die behauptete Notstandsvergabe nach § 14 Abs. 4 Nr. 3 VgV scheidet aus:</w:t>
      </w:r>
    </w:p>
    <w:p>
      <w:pPr>
        <w:pStyle w:val="ListBullet"/>
      </w:pPr>
      <w:r>
        <w:t>Der BSI-Audit vom November 2024 war vorhersehbar (reguläres KRITIS-Nachweisverfahren)</w:t>
      </w:r>
    </w:p>
    <w:p>
      <w:pPr>
        <w:pStyle w:val="ListBullet"/>
      </w:pPr>
      <w:r>
        <w:t>Zwischen Audit (November 2024) und Vertragsschluss (Dezember 2025) lagen 13 Monate</w:t>
      </w:r>
    </w:p>
    <w:p>
      <w:pPr>
        <w:pStyle w:val="ListBullet"/>
      </w:pPr>
      <w:r>
        <w:t>In 13 Monaten hätte ein Verhandlungsverfahren ohne Teilnahmewettbewerb (§ 14 Abs. 4 Nr. 3 VgV, max. 2–4 Wochen) problemlos durchgeführt werden können</w:t>
      </w:r>
    </w:p>
    <w:p>
      <w:pPr>
        <w:pStyle w:val="ListBullet"/>
      </w:pPr>
      <w:r>
        <w:t>Der Notstand war daher nicht unvermeidbar</w:t>
      </w:r>
    </w:p>
    <w:p>
      <w:pPr>
        <w:pStyle w:val="Heading3"/>
      </w:pPr>
      <w:r>
        <w:rPr>
          <w:rFonts w:ascii="Times New Roman" w:hAnsi="Times New Roman"/>
        </w:rPr>
        <w:t>3. Incumbent-Vorteil und Wettbewerbsverzerrung</w:t>
      </w:r>
    </w:p>
    <w:p>
      <w:pPr>
        <w:jc w:val="left"/>
      </w:pPr>
      <w:r>
        <w:t>Der faktische Incumbent-Vorteil von ProtectIT SE (durch den De-facto-Auftrag erlangte Infrastrukturkenntnisse) hat das Hauptvergabeverfahren LH-SN-Cyber-SOC-NSV-2026 strukturell verzerrt. Dies stellt einen eigenständigen Wettbewerbsverstoß dar, der den Schadensersatzanspruch der CyberShield Defense GmbH nach § 181 GWB begründet (Anspruch auf entgangenen Gewinn, falls CyberShield ohne den Incumbent-Vorteil den Zuschlag erhalten hätte).</w:t>
      </w:r>
    </w:p>
    <w:p>
      <w:pPr>
        <w:pStyle w:val="Heading3"/>
      </w:pPr>
      <w:r>
        <w:rPr>
          <w:rFonts w:ascii="Times New Roman" w:hAnsi="Times New Roman"/>
        </w:rPr>
        <w:t>4. Wirksamkeit des § 135-Antrags (Fristwahrung)</w:t>
      </w:r>
    </w:p>
    <w:p>
      <w:pPr>
        <w:jc w:val="left"/>
      </w:pPr>
      <w:r>
        <w:t>Kenntnis vom Vertragsschluss: 04.06.2026 (VK-Verhandlung). Antragsfrist 30 Tage = 04.07.2026. Antrag eingereicht am 27.06.2026. Frist gewahrt.</w:t>
      </w:r>
    </w:p>
    <w:p/>
    <w:p>
      <w:pPr>
        <w:jc w:val="left"/>
      </w:pPr>
      <w:r>
        <w:rPr>
          <w:b/>
        </w:rPr>
        <w:t>Beweismittel:</w:t>
      </w:r>
    </w:p>
    <w:p>
      <w:pPr>
        <w:pStyle w:val="ListBullet"/>
      </w:pPr>
      <w:r>
        <w:t>Anlage K-1: LinkedIn-Post ProtectIT-Mitarbeiter (Screenshot, 08.01.2026)</w:t>
      </w:r>
    </w:p>
    <w:p>
      <w:pPr>
        <w:pStyle w:val="ListBullet"/>
      </w:pPr>
      <w:r>
        <w:t>Anlage K-2: VK-Verhandlungsprotokoll 04.06.2026 (Stellungnahme Vergabestelle zu SOC-Pilotbetrieb)</w:t>
      </w:r>
    </w:p>
    <w:p>
      <w:pPr>
        <w:pStyle w:val="ListBullet"/>
      </w:pPr>
      <w:r>
        <w:t>Anlage K-3: IFG-Auskunft LH Schwerin über Vertragsabschluss 12/2025</w:t>
      </w:r>
    </w:p>
    <w:p>
      <w:pPr>
        <w:pStyle w:val="ListBullet"/>
      </w:pPr>
      <w:r>
        <w:t>Anlage K-4: TED-Datenbankrecherche (keine Bekanntmachung für NSV SOC 2025)</w:t>
      </w:r>
    </w:p>
    <w:p/>
    <w:p>
      <w:pPr>
        <w:jc w:val="left"/>
      </w:pPr>
      <w:r>
        <w:rPr>
          <w:b/>
        </w:rPr>
        <w:t>Dr. Constantin Bährens</w:t>
      </w:r>
    </w:p>
    <w:p>
      <w:pPr>
        <w:jc w:val="left"/>
      </w:pPr>
      <w:r>
        <w:t>Fachanwalt für Vergaberecht</w:t>
      </w:r>
    </w:p>
    <w:p/>
    <w:p>
      <w:pPr>
        <w:jc w:val="left"/>
      </w:pPr>
      <w:r>
        <w:rPr>
          <w:i/>
        </w:rPr>
        <w:t>Dokument-Ende Aktenstück 20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