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21 – BSI IT-SIG 2.0 / KRITIS-Rechtliche Analyse</w:t>
      </w:r>
    </w:p>
    <w:p>
      <w:pPr>
        <w:jc w:val="left"/>
      </w:pPr>
      <w:r>
        <w:rPr>
          <w:b/>
        </w:rPr>
        <w:t>Aktenzeichen:</w:t>
      </w:r>
      <w:r>
        <w:t xml:space="preserve"> VK 1-32/26</w:t>
      </w:r>
    </w:p>
    <w:p>
      <w:pPr>
        <w:jc w:val="left"/>
      </w:pPr>
      <w:r>
        <w:rPr>
          <w:b/>
        </w:rPr>
        <w:t>Vorhabenbezeichnung:</w:t>
      </w:r>
      <w:r>
        <w:t xml:space="preserve"> LH-SN-Cyber-SOC-NSV-2026</w:t>
      </w:r>
    </w:p>
    <w:p>
      <w:pPr>
        <w:jc w:val="left"/>
      </w:pPr>
      <w:r>
        <w:rPr>
          <w:b/>
        </w:rPr>
        <w:t>Datum:</w:t>
      </w:r>
      <w:r>
        <w:t xml:space="preserve"> 15.03.2026 (Gutachten, erstellt vor Verfahrensbeginn)</w:t>
      </w:r>
    </w:p>
    <w:p>
      <w:pPr>
        <w:jc w:val="left"/>
      </w:pPr>
      <w:r>
        <w:rPr>
          <w:b/>
        </w:rPr>
        <w:t>Erstellt von:</w:t>
      </w:r>
      <w:r>
        <w:t xml:space="preserve"> RA Dr. Constantin Bährens / Fachberatung IT-Sicherheitsrecht</w:t>
      </w:r>
    </w:p>
    <w:p/>
    <w:p>
      <w:pPr>
        <w:pStyle w:val="Heading2"/>
      </w:pPr>
      <w:r>
        <w:rPr>
          <w:rFonts w:ascii="Times New Roman" w:hAnsi="Times New Roman"/>
        </w:rPr>
        <w:t>Rechtsgutachten: BSI IT-Sicherheitsgesetz 2.0, KRITIS-Anforderungen und NIS2 im ÖPNV-Vergabeverfahren</w:t>
      </w:r>
    </w:p>
    <w:p>
      <w:pPr>
        <w:pStyle w:val="Heading3"/>
      </w:pPr>
      <w:r>
        <w:rPr>
          <w:rFonts w:ascii="Times New Roman" w:hAnsi="Times New Roman"/>
        </w:rPr>
        <w:t>1. Ausgangsfrage</w:t>
      </w:r>
    </w:p>
    <w:p>
      <w:pPr>
        <w:jc w:val="left"/>
      </w:pPr>
      <w:r>
        <w:t>Welche rechtlichen Anforderungen stellen das IT-Sicherheitsgesetz 2.0 (IT-SIG 2.0), die KRITIS-Verordnung Verkehr und die NIS2-Richtlinie an Auftragsleistungen im Bereich SOC und IT-Sicherheitsberatung für einen ÖPNV-KRITIS-Betreiber?</w:t>
      </w:r>
    </w:p>
    <w:p/>
    <w:p>
      <w:pPr>
        <w:pStyle w:val="Heading3"/>
      </w:pPr>
      <w:r>
        <w:rPr>
          <w:rFonts w:ascii="Times New Roman" w:hAnsi="Times New Roman"/>
        </w:rPr>
        <w:t>2. Das IT-Sicherheitsgesetz 2.0 (IT-SIG 2.0)</w:t>
      </w:r>
    </w:p>
    <w:p>
      <w:pPr>
        <w:jc w:val="left"/>
      </w:pPr>
      <w:r>
        <w:t xml:space="preserve">Das </w:t>
      </w:r>
      <w:r>
        <w:rPr>
          <w:b/>
        </w:rPr>
        <w:t>IT-Sicherheitsgesetz 2.0</w:t>
      </w:r>
      <w:r>
        <w:t xml:space="preserve"> (Gesetz zur Erhöhung der Sicherheit informationstechnischer Systeme vom 18.05.2021, BGBl. I S. 1122) hat das BSIG in mehreren Punkten wesentlich verschärft:</w:t>
      </w:r>
    </w:p>
    <w:p>
      <w:pPr>
        <w:jc w:val="left"/>
      </w:pPr>
      <w:r>
        <w:rPr>
          <w:b/>
        </w:rPr>
        <w:t>2.1 Erweiterung der KRITIS-Betreiberkreise</w:t>
      </w:r>
    </w:p>
    <w:p>
      <w:pPr>
        <w:jc w:val="left"/>
      </w:pPr>
      <w:r>
        <w:t>§ 2 Abs. 10 BSIG n.F. erweitert den KRITIS-Begriff auf „Unternehmen im besonderen öffentlichen Interesse" (UNBÖFI), darunter:</w:t>
      </w:r>
    </w:p>
    <w:p>
      <w:pPr>
        <w:pStyle w:val="ListBullet"/>
      </w:pPr>
      <w:r>
        <w:t>Rüstungsunternehmen (§ 2 Abs. 14 Nr. 1 BSIG)</w:t>
      </w:r>
    </w:p>
    <w:p>
      <w:pPr>
        <w:pStyle w:val="ListBullet"/>
      </w:pPr>
      <w:r>
        <w:t>Unternehmen von erheblicher volkswirtschaftlicher Bedeutung (§ 2 Abs. 14 Nr. 2 BSIG)</w:t>
      </w:r>
    </w:p>
    <w:p>
      <w:pPr>
        <w:pStyle w:val="ListBullet"/>
      </w:pPr>
      <w:r>
        <w:t>Betreiber kritischer Anlagen unterhalb des Schwellenwerts (§ 2 Abs. 14 Nr. 3 BSIG)</w:t>
      </w:r>
    </w:p>
    <w:p>
      <w:pPr>
        <w:jc w:val="left"/>
      </w:pPr>
      <w:r>
        <w:t>Die NSV Nahverkehr Schwerin GmbH fällt als ÖPNV-Betreiber mit mehr als 50.000 beförderten Personen täglich in den klassischen KRITIS-Sektor Verkehr (§ 2 Abs. 10 Nr. 1 lit. d BSIG i.V.m. KRITIS-VO Verkehr).</w:t>
      </w:r>
    </w:p>
    <w:p>
      <w:pPr>
        <w:jc w:val="left"/>
      </w:pPr>
      <w:r>
        <w:rPr>
          <w:b/>
        </w:rPr>
        <w:t>2.2 Verschärfte Anforderungen § 8a BSIG</w:t>
      </w:r>
    </w:p>
    <w:p>
      <w:pPr>
        <w:jc w:val="left"/>
      </w:pPr>
      <w:r>
        <w:t>§ 8a Abs. 1 BSIG n.F. verpflichtet KRITIS-Betreiber, „angemessene organisatorische und technische Vorkehrungen" zum Schutz ihrer KRITIS-Anlagen zu treffen. Konkretisierend schreibt § 8a Abs. 1a BSIG (neu durch IT-SIG 2.0) vor:</w:t>
      </w:r>
    </w:p>
    <w:p>
      <w:pPr>
        <w:pStyle w:val="ListBullet"/>
      </w:pPr>
      <w:r>
        <w:rPr>
          <w:b/>
        </w:rPr>
        <w:t>Systeme zur Angriffserkennung</w:t>
      </w:r>
      <w:r>
        <w:t xml:space="preserve"> (Attack Detection Systems – ADS): Ab 01.05.2023 verpflichtend für alle KRITIS-Betreiber</w:t>
      </w:r>
    </w:p>
    <w:p>
      <w:pPr>
        <w:pStyle w:val="ListBullet"/>
      </w:pPr>
      <w:r>
        <w:t>Die ADS müssen dem BSI auf Anforderung nachgewiesen werden</w:t>
      </w:r>
    </w:p>
    <w:p>
      <w:pPr>
        <w:pStyle w:val="ListBullet"/>
      </w:pPr>
      <w:r>
        <w:t>Ein SOC, das 24/7-Monitoring betreibt, gilt als qualifiziertes Angriffserkennungssystem im Sinne von § 8a Abs. 1a BSIG</w:t>
      </w:r>
    </w:p>
    <w:p>
      <w:pPr>
        <w:jc w:val="left"/>
      </w:pPr>
      <w:r>
        <w:t>Damit ist der Leistungsgegenstand der Ausschreibung (SOC Managed Service) unmittelbar gesetzlich geboten. Der Auftragnehmer des SOC-Vertrags erbringt eine Leistung, die der KRITIS-Betreiber kraft Gesetzes sicherstellen muss.</w:t>
      </w:r>
    </w:p>
    <w:p>
      <w:pPr>
        <w:jc w:val="left"/>
      </w:pPr>
      <w:r>
        <w:rPr>
          <w:b/>
        </w:rPr>
        <w:t>2.3 Meldepflichten § 8b BSIG</w:t>
      </w:r>
    </w:p>
    <w:p>
      <w:pPr>
        <w:jc w:val="left"/>
      </w:pPr>
      <w:r>
        <w:t>§ 8b Abs. 4 BSIG verpflichtet KRITIS-Betreiber, erhebliche Sicherheitsvorfälle unverzüglich (innerhalb von 72 Stunden) an das BSI zu melden. Der Auftragnehmer des SOC-Vertrags ist verpflichtet, diese Meldungen zu unterstützen und auf Anforderung forensische Erstdokumentation zu liefern.</w:t>
      </w:r>
    </w:p>
    <w:p>
      <w:pPr>
        <w:jc w:val="left"/>
      </w:pPr>
      <w:r>
        <w:rPr>
          <w:b/>
        </w:rPr>
        <w:t>2.4 Anforderungen an kritische Komponenten (§ 9b BSIG)</w:t>
      </w:r>
    </w:p>
    <w:p>
      <w:pPr>
        <w:jc w:val="left"/>
      </w:pPr>
      <w:r>
        <w:t>Kritische Komponenten – definiert als IT-Produkte, die in KRITIS-Anlagen eingesetzt werden und bei denen Beeinträchtigungen zu Ausfällen führen können – dürfen nur mit Zustimmung des Bundesministeriums des Innern (BMI) eingesetzt werden, wenn der Hersteller aus einem Nicht-EU-Drittstaat stammt.</w:t>
      </w:r>
    </w:p>
    <w:p>
      <w:pPr>
        <w:jc w:val="left"/>
      </w:pPr>
      <w:r>
        <w:t>Für die Ausschreibung bedeutet dies: SIEM-Software und andere SOC-Kernkomponenten aus Drittstaaten (z.B. aus russischer oder chinesischer Herstellers) können nach § 9b BSIG einer BMI-Prüfung unterliegen. Diese Anforderung muss in den Zuschlagskriterien berücksichtigt werden.</w:t>
      </w:r>
    </w:p>
    <w:p/>
    <w:p>
      <w:pPr>
        <w:pStyle w:val="Heading3"/>
      </w:pPr>
      <w:r>
        <w:rPr>
          <w:rFonts w:ascii="Times New Roman" w:hAnsi="Times New Roman"/>
        </w:rPr>
        <w:t>3. KRITIS-Verordnung Verkehr</w:t>
      </w:r>
    </w:p>
    <w:p>
      <w:pPr>
        <w:jc w:val="left"/>
      </w:pPr>
      <w:r>
        <w:t xml:space="preserve">Die </w:t>
      </w:r>
      <w:r>
        <w:rPr>
          <w:b/>
        </w:rPr>
        <w:t>KRITIS-Verordnung (KritisV)</w:t>
      </w:r>
      <w:r>
        <w:t xml:space="preserve"> in der Fassung vom 22.04.2016 (zuletzt geändert durch Änderungsverordnung 2021) definiert in Anhang 7 (Sektor Verkehr) die Schwellenwerte: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Anlagetyp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Schwellenwert (Betroffene)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ÖPNV-Netz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 Millionen Fahrgäste pro Jahr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Flughafen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Flugbewegungen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Schienennetz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 Millionen Zugkilometer</w:t>
            </w:r>
          </w:p>
        </w:tc>
      </w:tr>
    </w:tbl>
    <w:p>
      <w:pPr>
        <w:jc w:val="left"/>
      </w:pPr>
      <w:r>
        <w:t>Die NSV überschreitet den ÖPNV-Schwellenwert (Schwerin: ca. 25 Mio. Fahrgäste/Jahr). Die KRITIS-Registrierung ist damit obligatorisch.</w:t>
      </w:r>
    </w:p>
    <w:p/>
    <w:p>
      <w:pPr>
        <w:pStyle w:val="Heading3"/>
      </w:pPr>
      <w:r>
        <w:rPr>
          <w:rFonts w:ascii="Times New Roman" w:hAnsi="Times New Roman"/>
        </w:rPr>
        <w:t>4. NIS2-Richtlinie und Übergangsregelungen</w:t>
      </w:r>
    </w:p>
    <w:p>
      <w:pPr>
        <w:jc w:val="left"/>
      </w:pPr>
      <w:r>
        <w:t xml:space="preserve">Die </w:t>
      </w:r>
      <w:r>
        <w:rPr>
          <w:b/>
        </w:rPr>
        <w:t>NIS2-Richtlinie</w:t>
      </w:r>
      <w:r>
        <w:t xml:space="preserve"> (EU 2022/2555, in Kraft seit 16.01.2023) ersetzt die NIS-1-Richtlinie. Umsetzungsfrist: 17.10.2024. Deutschland hat die NIS2 durch das </w:t>
      </w:r>
      <w:r>
        <w:rPr>
          <w:b/>
        </w:rPr>
        <w:t>NIS2-Umsetzungsgesetz (NIS2UmsuCG)</w:t>
      </w:r>
      <w:r>
        <w:t xml:space="preserve"> umgesetzt, das am 01.11.2024 in Kraft getreten ist.</w:t>
      </w:r>
    </w:p>
    <w:p>
      <w:pPr>
        <w:jc w:val="left"/>
      </w:pPr>
      <w:r>
        <w:rPr>
          <w:b/>
        </w:rPr>
        <w:t>4.1 Einordnung NSV als „wichtige Einrichtung"</w:t>
      </w:r>
    </w:p>
    <w:p>
      <w:pPr>
        <w:jc w:val="left"/>
      </w:pPr>
      <w:r>
        <w:t>Die NSV fällt als ÖPNV-Betreiber mit mehr als 250 Mitarbeitern und/oder mehr als 50 Mio. EUR Jahresumsatz unter die Kategorie „wichtige Einrichtung" (Annex II NIS2-RL: Sektor Verkehr, Personenbeförderung). Für wichtige Einrichtungen gelten:</w:t>
      </w:r>
    </w:p>
    <w:p>
      <w:pPr>
        <w:pStyle w:val="ListBullet"/>
      </w:pPr>
      <w:r>
        <w:t>Verschärfte Sicherheitsanforderungen (Art. 21 NIS2-RL) – 10 Mindestmaßnahmen, darunter Incident Detection und SOC-Äquivalent</w:t>
      </w:r>
    </w:p>
    <w:p>
      <w:pPr>
        <w:pStyle w:val="ListBullet"/>
      </w:pPr>
      <w:r>
        <w:t>Meldepflichten: Frühwarnung binnen 24 Stunden, vollständige Meldung binnen 72 Stunden (Art. 23 NIS2-RL)</w:t>
      </w:r>
    </w:p>
    <w:p>
      <w:pPr>
        <w:pStyle w:val="ListBullet"/>
      </w:pPr>
      <w:r>
        <w:t>Aufsichtspflichten: Nationaler Behörde (BSI als NCA für Deutschland)</w:t>
      </w:r>
    </w:p>
    <w:p>
      <w:pPr>
        <w:jc w:val="left"/>
      </w:pPr>
      <w:r>
        <w:rPr>
          <w:b/>
        </w:rPr>
        <w:t>4.2 Übergangsregelungen</w:t>
      </w:r>
    </w:p>
    <w:p>
      <w:pPr>
        <w:jc w:val="left"/>
      </w:pPr>
      <w:r>
        <w:t>Das NIS2UmsuCG enthält Übergangsfristen für die Registrierung (bis 31.01.2025) und für die technischen Maßnahmen (ab Registrierung 12 Monate Umsetzungsfrist). Für die NSV laufen diese Fristen Anfang 2026 ab – was die Dringlichkeit der SOC-Beschaffung zusätzlich unterstreicht.</w:t>
      </w:r>
    </w:p>
    <w:p/>
    <w:p>
      <w:pPr>
        <w:pStyle w:val="Heading3"/>
      </w:pPr>
      <w:r>
        <w:rPr>
          <w:rFonts w:ascii="Times New Roman" w:hAnsi="Times New Roman"/>
        </w:rPr>
        <w:t>5. Vergaberechtliche Konsequenzen</w:t>
      </w:r>
    </w:p>
    <w:p>
      <w:pPr>
        <w:jc w:val="left"/>
      </w:pPr>
      <w:r>
        <w:rPr>
          <w:b/>
        </w:rPr>
        <w:t>5.1 Eignung: KRITIS-Kompetenz als valides Differenzierungskriterium</w:t>
      </w:r>
    </w:p>
    <w:p>
      <w:pPr>
        <w:jc w:val="left"/>
      </w:pPr>
      <w:r>
        <w:t>Angesichts der gesetzlichen Anforderungen des IT-SIG 2.0 und der NIS2-RL ist es grundsätzlich zulässig, von Bietern sektorspezifische KRITIS-Erfahrung als qualitatives Zuschlagskriterium zu verlangen. Der ausschreibungsrechtliche Spielraum erlaubt:</w:t>
      </w:r>
    </w:p>
    <w:p>
      <w:pPr>
        <w:pStyle w:val="ListBullet"/>
      </w:pPr>
      <w:r>
        <w:t xml:space="preserve">Als </w:t>
      </w:r>
      <w:r>
        <w:rPr>
          <w:b/>
        </w:rPr>
        <w:t>Zuschlagskriterium</w:t>
      </w:r>
      <w:r>
        <w:t>: Differenzierung zwischen KRITIS-Sektoren (ÖPNV vs. andere Sektoren) → zulässig und angemessen</w:t>
      </w:r>
    </w:p>
    <w:p>
      <w:pPr>
        <w:pStyle w:val="ListBullet"/>
      </w:pPr>
      <w:r>
        <w:t xml:space="preserve">Als </w:t>
      </w:r>
      <w:r>
        <w:rPr>
          <w:b/>
        </w:rPr>
        <w:t>KO-Eignungskriterium</w:t>
      </w:r>
      <w:r>
        <w:t xml:space="preserve">: Zwingender Ausschluss bei fehlender ÖPNV-Erfahrung → nur zulässig, wenn in den Vergabeunterlagen </w:t>
      </w:r>
      <w:r>
        <w:rPr>
          <w:b/>
        </w:rPr>
        <w:t>klar, eindeutig und zwingend</w:t>
      </w:r>
      <w:r>
        <w:t xml:space="preserve"> formuliert</w:t>
      </w:r>
    </w:p>
    <w:p>
      <w:pPr>
        <w:jc w:val="left"/>
      </w:pPr>
      <w:r>
        <w:t>Im vorliegenden Fall: Das Kriterium T-2 formulierte „bevorzugt" – kein KO-Kriterium. Der Ausschluss war daher unverhältnismäßig und vergaberechtswidrig (→ bestätigt durch VK-Beschluss vom 25.06.2026).</w:t>
      </w:r>
    </w:p>
    <w:p>
      <w:pPr>
        <w:jc w:val="left"/>
      </w:pPr>
      <w:r>
        <w:rPr>
          <w:b/>
        </w:rPr>
        <w:t>5.2 BSI-zertifizierte Anbieter</w:t>
      </w:r>
    </w:p>
    <w:p>
      <w:pPr>
        <w:jc w:val="left"/>
      </w:pPr>
      <w:r>
        <w:t>Das BSI betreibt ein IT-Sicherheitskennzeichen und anerkannte Prüfstellen. Eine Anforderung, dass der SOC-Betreiber einen BSI-anerkannten Qualitätsstatus hat, wäre sachlich gerechtfertigt. Die Ausschreibung hat dies durch ISO 27001-Anforderung abgedeckt (T-3).</w:t>
      </w:r>
    </w:p>
    <w:p>
      <w:pPr>
        <w:jc w:val="left"/>
      </w:pPr>
      <w:r>
        <w:rPr>
          <w:b/>
        </w:rPr>
        <w:t>5.3 Kritische Komponenten (§ 9b BSIG)</w:t>
      </w:r>
    </w:p>
    <w:p>
      <w:pPr>
        <w:jc w:val="left"/>
      </w:pPr>
      <w:r>
        <w:t>Die Leistungsbeschreibung hätte explizit klarstellen sollen, dass Komponenten aus Nicht-EU-Drittstaaten einer BMI-Prüfung unterliegen können. Dies ist ein Gestaltungshinweis für zukünftige Ausschreibungen.</w:t>
      </w:r>
    </w:p>
    <w:p/>
    <w:p>
      <w:pPr>
        <w:jc w:val="left"/>
      </w:pPr>
      <w:r>
        <w:rPr>
          <w:i/>
        </w:rPr>
        <w:t>Dokument-Ende Aktenstück 21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