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Mandatsübersicht: Examensplanung Roosendaal-Tinnefeld</w:t>
      </w:r>
    </w:p>
    <w:p>
      <w:pPr>
        <w:jc w:val="left"/>
      </w:pPr>
      <w:r>
        <w:rPr>
          <w:b/>
        </w:rPr>
        <w:t>Studentin:</w:t>
      </w:r>
      <w:r>
        <w:t xml:space="preserve"> Annika Roosendaal-Tinnefeld</w:t>
      </w:r>
    </w:p>
    <w:p>
      <w:pPr>
        <w:jc w:val="left"/>
      </w:pPr>
      <w:r>
        <w:rPr>
          <w:b/>
        </w:rPr>
        <w:t>Matrikelnummer:</w:t>
      </w:r>
      <w:r>
        <w:t xml:space="preserve"> 2271084</w:t>
      </w:r>
    </w:p>
    <w:p>
      <w:pPr>
        <w:jc w:val="left"/>
      </w:pPr>
      <w:r>
        <w:rPr>
          <w:b/>
        </w:rPr>
        <w:t>Universität:</w:t>
      </w:r>
      <w:r>
        <w:t xml:space="preserve"> Rheinische Friedrich-Wilhelms-Universität Bonn</w:t>
      </w:r>
    </w:p>
    <w:p>
      <w:pPr>
        <w:jc w:val="left"/>
      </w:pPr>
      <w:r>
        <w:rPr>
          <w:b/>
        </w:rPr>
        <w:t>Fachsemester:</w:t>
      </w:r>
      <w:r>
        <w:t xml:space="preserve"> 9 (Stand Oktober 2025)</w:t>
      </w:r>
    </w:p>
    <w:p>
      <w:pPr>
        <w:jc w:val="left"/>
      </w:pPr>
      <w:r>
        <w:rPr>
          <w:b/>
        </w:rPr>
        <w:t>Ziel:</w:t>
      </w:r>
      <w:r>
        <w:t xml:space="preserve"> 1. Juristische Prüfung, JPA beim OLG Köln, Frühjahr 2027</w:t>
      </w:r>
    </w:p>
    <w:p>
      <w:pPr>
        <w:jc w:val="left"/>
      </w:pPr>
      <w:r>
        <w:rPr>
          <w:b/>
        </w:rPr>
        <w:t>Schwerpunktbereich:</w:t>
      </w:r>
      <w:r>
        <w:t xml:space="preserve"> Internationales Privatrecht (Gruppe B, Prof. Dr. Witzleben)</w:t>
      </w:r>
    </w:p>
    <w:p/>
    <w:p>
      <w:pPr>
        <w:pStyle w:val="Heading2"/>
      </w:pPr>
      <w:r>
        <w:rPr>
          <w:rFonts w:ascii="Times New Roman" w:hAnsi="Times New Roman"/>
        </w:rPr>
        <w:t>Studienbiografie</w:t>
      </w:r>
    </w:p>
    <w:p>
      <w:pPr>
        <w:jc w:val="left"/>
      </w:pPr>
      <w:r>
        <w:t>Annika Roosendaal-Tinnefeld, geboren 03.04.2001 in Bonn, hat nach dem Abitur (Note 1,3, Bonn-Beuel) im Wintersemester 2020/2021 das Jurastudium in Bonn aufgenommen. Der Studienverlauf war bis zum 6. Semester linear und ohne Unterbrechungen. Ab dem 7. Semester konzentrierte sie sich auf den Schwerpunktbereich IPR und Rechtsvergleichung.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Semester</w:t>
            </w:r>
          </w:p>
        </w:tc>
        <w:tc>
          <w:tcPr>
            <w:tcW w:type="dxa" w:w="3024"/>
          </w:tcPr>
          <w:p>
            <w:r>
              <w:rPr>
                <w:rFonts w:ascii="Times New Roman" w:hAnsi="Times New Roman"/>
                <w:b/>
                <w:sz w:val="20"/>
              </w:rPr>
              <w:t>Zeitraum</w:t>
            </w:r>
          </w:p>
        </w:tc>
        <w:tc>
          <w:tcPr>
            <w:tcW w:type="dxa" w:w="3024"/>
          </w:tcPr>
          <w:p>
            <w:r>
              <w:rPr>
                <w:rFonts w:ascii="Times New Roman" w:hAnsi="Times New Roman"/>
                <w:b/>
                <w:sz w:val="20"/>
              </w:rPr>
              <w:t>Besonderheiten</w:t>
            </w:r>
          </w:p>
        </w:tc>
      </w:tr>
      <w:tr>
        <w:tc>
          <w:tcPr>
            <w:tcW w:type="dxa" w:w="3024"/>
          </w:tcPr>
          <w:p>
            <w:r>
              <w:rPr>
                <w:rFonts w:ascii="Times New Roman" w:hAnsi="Times New Roman"/>
                <w:sz w:val="20"/>
              </w:rPr>
              <w:t>1.–2.</w:t>
            </w:r>
          </w:p>
        </w:tc>
        <w:tc>
          <w:tcPr>
            <w:tcW w:type="dxa" w:w="3024"/>
          </w:tcPr>
          <w:p>
            <w:r>
              <w:rPr>
                <w:rFonts w:ascii="Times New Roman" w:hAnsi="Times New Roman"/>
                <w:sz w:val="20"/>
              </w:rPr>
              <w:t>WS 2020/21 – SS 2021</w:t>
            </w:r>
          </w:p>
        </w:tc>
        <w:tc>
          <w:tcPr>
            <w:tcW w:type="dxa" w:w="3024"/>
          </w:tcPr>
          <w:p>
            <w:r>
              <w:rPr>
                <w:rFonts w:ascii="Times New Roman" w:hAnsi="Times New Roman"/>
                <w:sz w:val="20"/>
              </w:rPr>
              <w:t>Einführung; Grundkurse BGB AT, StR AT</w:t>
            </w:r>
          </w:p>
        </w:tc>
      </w:tr>
      <w:tr>
        <w:tc>
          <w:tcPr>
            <w:tcW w:type="dxa" w:w="3024"/>
          </w:tcPr>
          <w:p>
            <w:r>
              <w:rPr>
                <w:rFonts w:ascii="Times New Roman" w:hAnsi="Times New Roman"/>
                <w:sz w:val="20"/>
              </w:rPr>
              <w:t>3.–4.</w:t>
            </w:r>
          </w:p>
        </w:tc>
        <w:tc>
          <w:tcPr>
            <w:tcW w:type="dxa" w:w="3024"/>
          </w:tcPr>
          <w:p>
            <w:r>
              <w:rPr>
                <w:rFonts w:ascii="Times New Roman" w:hAnsi="Times New Roman"/>
                <w:sz w:val="20"/>
              </w:rPr>
              <w:t>WS 2021/22 – SS 2022</w:t>
            </w:r>
          </w:p>
        </w:tc>
        <w:tc>
          <w:tcPr>
            <w:tcW w:type="dxa" w:w="3024"/>
          </w:tcPr>
          <w:p>
            <w:r>
              <w:rPr>
                <w:rFonts w:ascii="Times New Roman" w:hAnsi="Times New Roman"/>
                <w:sz w:val="20"/>
              </w:rPr>
              <w:t>Schuldrecht, Sachenrecht, Strafrecht BT</w:t>
            </w:r>
          </w:p>
        </w:tc>
      </w:tr>
      <w:tr>
        <w:tc>
          <w:tcPr>
            <w:tcW w:type="dxa" w:w="3024"/>
          </w:tcPr>
          <w:p>
            <w:r>
              <w:rPr>
                <w:rFonts w:ascii="Times New Roman" w:hAnsi="Times New Roman"/>
                <w:sz w:val="20"/>
              </w:rPr>
              <w:t>5.–6.</w:t>
            </w:r>
          </w:p>
        </w:tc>
        <w:tc>
          <w:tcPr>
            <w:tcW w:type="dxa" w:w="3024"/>
          </w:tcPr>
          <w:p>
            <w:r>
              <w:rPr>
                <w:rFonts w:ascii="Times New Roman" w:hAnsi="Times New Roman"/>
                <w:sz w:val="20"/>
              </w:rPr>
              <w:t>WS 2022/23 – SS 2023</w:t>
            </w:r>
          </w:p>
        </w:tc>
        <w:tc>
          <w:tcPr>
            <w:tcW w:type="dxa" w:w="3024"/>
          </w:tcPr>
          <w:p>
            <w:r>
              <w:rPr>
                <w:rFonts w:ascii="Times New Roman" w:hAnsi="Times New Roman"/>
                <w:sz w:val="20"/>
              </w:rPr>
              <w:t>Öffentliches Recht, Verwaltungsrecht, erste Übungsklausuren</w:t>
            </w:r>
          </w:p>
        </w:tc>
      </w:tr>
      <w:tr>
        <w:tc>
          <w:tcPr>
            <w:tcW w:type="dxa" w:w="3024"/>
          </w:tcPr>
          <w:p>
            <w:r>
              <w:rPr>
                <w:rFonts w:ascii="Times New Roman" w:hAnsi="Times New Roman"/>
                <w:sz w:val="20"/>
              </w:rPr>
              <w:t>7.</w:t>
            </w:r>
          </w:p>
        </w:tc>
        <w:tc>
          <w:tcPr>
            <w:tcW w:type="dxa" w:w="3024"/>
          </w:tcPr>
          <w:p>
            <w:r>
              <w:rPr>
                <w:rFonts w:ascii="Times New Roman" w:hAnsi="Times New Roman"/>
                <w:sz w:val="20"/>
              </w:rPr>
              <w:t>WS 2023/24</w:t>
            </w:r>
          </w:p>
        </w:tc>
        <w:tc>
          <w:tcPr>
            <w:tcW w:type="dxa" w:w="3024"/>
          </w:tcPr>
          <w:p>
            <w:r>
              <w:rPr>
                <w:rFonts w:ascii="Times New Roman" w:hAnsi="Times New Roman"/>
                <w:sz w:val="20"/>
              </w:rPr>
              <w:t>Schwerpunktbereich IPR, Vorlesungen Prof. Dr. Witzleben</w:t>
            </w:r>
          </w:p>
        </w:tc>
      </w:tr>
      <w:tr>
        <w:tc>
          <w:tcPr>
            <w:tcW w:type="dxa" w:w="3024"/>
          </w:tcPr>
          <w:p>
            <w:r>
              <w:rPr>
                <w:rFonts w:ascii="Times New Roman" w:hAnsi="Times New Roman"/>
                <w:sz w:val="20"/>
              </w:rPr>
              <w:t>8.</w:t>
            </w:r>
          </w:p>
        </w:tc>
        <w:tc>
          <w:tcPr>
            <w:tcW w:type="dxa" w:w="3024"/>
          </w:tcPr>
          <w:p>
            <w:r>
              <w:rPr>
                <w:rFonts w:ascii="Times New Roman" w:hAnsi="Times New Roman"/>
                <w:sz w:val="20"/>
              </w:rPr>
              <w:t>SS 2024</w:t>
            </w:r>
          </w:p>
        </w:tc>
        <w:tc>
          <w:tcPr>
            <w:tcW w:type="dxa" w:w="3024"/>
          </w:tcPr>
          <w:p>
            <w:r>
              <w:rPr>
                <w:rFonts w:ascii="Times New Roman" w:hAnsi="Times New Roman"/>
                <w:sz w:val="20"/>
              </w:rPr>
              <w:t>Schwerpunkthausarbeit (Thema IPR/Rom-I-VO, Einreichung Feb. 2026)</w:t>
            </w:r>
          </w:p>
        </w:tc>
      </w:tr>
      <w:tr>
        <w:tc>
          <w:tcPr>
            <w:tcW w:type="dxa" w:w="3024"/>
          </w:tcPr>
          <w:p>
            <w:r>
              <w:rPr>
                <w:rFonts w:ascii="Times New Roman" w:hAnsi="Times New Roman"/>
                <w:sz w:val="20"/>
              </w:rPr>
              <w:t>9.</w:t>
            </w:r>
          </w:p>
        </w:tc>
        <w:tc>
          <w:tcPr>
            <w:tcW w:type="dxa" w:w="3024"/>
          </w:tcPr>
          <w:p>
            <w:r>
              <w:rPr>
                <w:rFonts w:ascii="Times New Roman" w:hAnsi="Times New Roman"/>
                <w:sz w:val="20"/>
              </w:rPr>
              <w:t>WS 2024/25</w:t>
            </w:r>
          </w:p>
        </w:tc>
        <w:tc>
          <w:tcPr>
            <w:tcW w:type="dxa" w:w="3024"/>
          </w:tcPr>
          <w:p>
            <w:r>
              <w:rPr>
                <w:rFonts w:ascii="Times New Roman" w:hAnsi="Times New Roman"/>
                <w:sz w:val="20"/>
              </w:rPr>
              <w:t>Examensvorbereitungssemester, Beginn Repetitorium Oktober 2025</w:t>
            </w:r>
          </w:p>
        </w:tc>
      </w:tr>
    </w:tbl>
    <w:p>
      <w:pPr>
        <w:jc w:val="left"/>
      </w:pPr>
      <w:r>
        <w:t>Bisherige Zwischenstationen:</w:t>
      </w:r>
    </w:p>
    <w:p>
      <w:pPr>
        <w:pStyle w:val="ListBullet"/>
      </w:pPr>
      <w:r>
        <w:t>Zwischenprüfung (nach 2. Semester): bestanden, keine Fehlversuche.</w:t>
      </w:r>
    </w:p>
    <w:p>
      <w:pPr>
        <w:pStyle w:val="ListBullet"/>
      </w:pPr>
      <w:r>
        <w:t>Übungsklausuren Bonn (große Übung BGB): Ø 6 Punkte (Notizen liegen vor, Stärken im BGB SchuldR).</w:t>
      </w:r>
    </w:p>
    <w:p>
      <w:pPr>
        <w:pStyle w:val="ListBullet"/>
      </w:pPr>
      <w:r>
        <w:t>Große Übung Strafrecht: Ø 5 Punkte — Aufbauproblem StR AT erkannt.</w:t>
      </w:r>
    </w:p>
    <w:p>
      <w:pPr>
        <w:pStyle w:val="ListBullet"/>
      </w:pPr>
      <w:r>
        <w:t>Fremdsprachenkompetenz: Englisch (C1), Französisch (B2) — relevant für IPR-Hausarbeit und LL.M.-Bewerbung.</w:t>
      </w:r>
    </w:p>
    <w:p>
      <w:pPr>
        <w:pStyle w:val="ListBullet"/>
      </w:pPr>
      <w:r>
        <w:t>Auslandsaufenthalt: kein Auslandssemester (bewusste Entscheidung zugunsten frühen Examensstarts).</w:t>
      </w:r>
    </w:p>
    <w:p/>
    <w:p>
      <w:pPr>
        <w:pStyle w:val="Heading2"/>
      </w:pPr>
      <w:r>
        <w:rPr>
          <w:rFonts w:ascii="Times New Roman" w:hAnsi="Times New Roman"/>
        </w:rPr>
        <w:t>Ausgangslage und Ziele</w:t>
      </w:r>
    </w:p>
    <w:p>
      <w:pPr>
        <w:jc w:val="left"/>
      </w:pPr>
      <w:r>
        <w:t>Annika plant das Examen für Frühjahr 2027. Sie hat sich entschieden, kein zweites Anlaufjahr einzuplanen und zielt auf eine Erstkorrektur-Note von mindestens 7 Punkten im Gesamtdurchschnitt. Langfristiges Ziel ist ein LL.M.-Studium (Oxford oder Köln, Schwerpunkt International Commercial Law), um anschließend im internationalen Transaktionsrecht tätig zu werden — entgegen dem Wunsch des Vaters, der auf eine Ausbildung in dessen Wirtschaftsrechtskanzlei drängt.</w:t>
      </w:r>
    </w:p>
    <w:p>
      <w:pPr>
        <w:jc w:val="left"/>
      </w:pPr>
      <w:r>
        <w:t>Schwächen (Selbsteinschätzung):</w:t>
      </w:r>
    </w:p>
    <w:p>
      <w:pPr>
        <w:pStyle w:val="ListBullet"/>
      </w:pPr>
      <w:r>
        <w:t>Aufbausicherheit im StR AT (insbesondere mittelbare Täterschaft, Versuch beim unechten Unterlassen).</w:t>
      </w:r>
    </w:p>
    <w:p>
      <w:pPr>
        <w:pStyle w:val="ListBullet"/>
      </w:pPr>
      <w:r>
        <w:t>Subsumtionstechnik im ÖR (Verhältnismäßigkeitsprüfung zu schematisch).</w:t>
      </w:r>
    </w:p>
    <w:p>
      <w:pPr>
        <w:pStyle w:val="ListBullet"/>
      </w:pPr>
      <w:r>
        <w:t>Zeitmanagement in der 5-Stunden-Klausur: tendiert zu langen Ausführungen im ersten Komplex, Zeit knapp für BGB-Komplex II.</w:t>
      </w:r>
    </w:p>
    <w:p>
      <w:pPr>
        <w:jc w:val="left"/>
      </w:pPr>
      <w:r>
        <w:t>Stärken (Selbsteinschätzung und Korrekturbemerkungen):</w:t>
      </w:r>
    </w:p>
    <w:p>
      <w:pPr>
        <w:pStyle w:val="ListBullet"/>
      </w:pPr>
      <w:r>
        <w:t>Fundiertes BGB-Schuldrecht (Leistungsstörungen, §§ 280 ff. BGB, AGB-Recht).</w:t>
      </w:r>
    </w:p>
    <w:p>
      <w:pPr>
        <w:pStyle w:val="ListBullet"/>
      </w:pPr>
      <w:r>
        <w:t>Sachverhaltserfassung und Problemerkennung in BGB-Klausuren gut.</w:t>
      </w:r>
    </w:p>
    <w:p>
      <w:pPr>
        <w:pStyle w:val="ListBullet"/>
      </w:pPr>
      <w:r>
        <w:t>IPR-Kenntnisse überdurchschnittlich durch Schwerpunktstudium.</w:t>
      </w:r>
    </w:p>
    <w:p/>
    <w:p>
      <w:pPr>
        <w:pStyle w:val="Heading2"/>
      </w:pPr>
      <w:r>
        <w:rPr>
          <w:rFonts w:ascii="Times New Roman" w:hAnsi="Times New Roman"/>
        </w:rPr>
        <w:t>Beratungsanliegen</w:t>
      </w:r>
    </w:p>
    <w:p>
      <w:pPr>
        <w:jc w:val="left"/>
      </w:pPr>
      <w:r>
        <w:t xml:space="preserve">Annika hat sich am 15.09.2025 an die Studienberatung des Lehrstuhls Witzleben und an das Prüfungsamt Bonn gewandt. Parallel nimmt sie Unterstützung durch die Mentorin Dr. Dueck in Anspruch. Die Begleitung durch das Plugin </w:t>
      </w:r>
      <w:r>
        <w:t>jurastudium</w:t>
      </w:r>
      <w:r>
        <w:t xml:space="preserve"> soll folgende Bereiche abdecken:</w:t>
      </w:r>
    </w:p>
    <w:p>
      <w:pPr>
        <w:pStyle w:val="ListNumber"/>
      </w:pPr>
      <w:r>
        <w:t>Erstellung und Pflege eines strukturierten 18-Monats-Lernplans.</w:t>
      </w:r>
    </w:p>
    <w:p>
      <w:pPr>
        <w:pStyle w:val="ListNumber"/>
      </w:pPr>
      <w:r>
        <w:t>Aufbautraining und Subsumtionskontrolle für Probeklausuren.</w:t>
      </w:r>
    </w:p>
    <w:p>
      <w:pPr>
        <w:pStyle w:val="ListNumber"/>
      </w:pPr>
      <w:r>
        <w:t>Entscheidungshilfe bei der Repetitoriumswahl.</w:t>
      </w:r>
    </w:p>
    <w:p>
      <w:pPr>
        <w:pStyle w:val="ListNumber"/>
      </w:pPr>
      <w:r>
        <w:t>Begleitung bei Nachteilsausgleichsantrag (Erkrankung März 2026).</w:t>
      </w:r>
    </w:p>
    <w:p>
      <w:pPr>
        <w:pStyle w:val="ListNumber"/>
      </w:pPr>
      <w:r>
        <w:t>Moderation des Familienkonflikts über Berufswahl.</w:t>
      </w:r>
    </w:p>
    <w:p>
      <w:pPr>
        <w:pStyle w:val="ListNumber"/>
      </w:pPr>
      <w:r>
        <w:t>Vorbereitung Anmeldung JPA Köln und Hilfsmittelauswahl.</w:t>
      </w:r>
    </w:p>
    <w:p/>
    <w:p>
      <w:pPr>
        <w:pStyle w:val="Heading2"/>
      </w:pPr>
      <w:r>
        <w:rPr>
          <w:rFonts w:ascii="Times New Roman" w:hAnsi="Times New Roman"/>
        </w:rPr>
        <w:t>Kontakte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Person/Stelle</w:t>
            </w:r>
          </w:p>
        </w:tc>
        <w:tc>
          <w:tcPr>
            <w:tcW w:type="dxa" w:w="3024"/>
          </w:tcPr>
          <w:p>
            <w:r>
              <w:rPr>
                <w:rFonts w:ascii="Times New Roman" w:hAnsi="Times New Roman"/>
                <w:b/>
                <w:sz w:val="20"/>
              </w:rPr>
              <w:t>Funktion</w:t>
            </w:r>
          </w:p>
        </w:tc>
        <w:tc>
          <w:tcPr>
            <w:tcW w:type="dxa" w:w="3024"/>
          </w:tcPr>
          <w:p>
            <w:r>
              <w:rPr>
                <w:rFonts w:ascii="Times New Roman" w:hAnsi="Times New Roman"/>
                <w:b/>
                <w:sz w:val="20"/>
              </w:rPr>
              <w:t>Kontakt</w:t>
            </w:r>
          </w:p>
        </w:tc>
      </w:tr>
      <w:tr>
        <w:tc>
          <w:tcPr>
            <w:tcW w:type="dxa" w:w="3024"/>
          </w:tcPr>
          <w:p>
            <w:r>
              <w:rPr>
                <w:rFonts w:ascii="Times New Roman" w:hAnsi="Times New Roman"/>
                <w:sz w:val="20"/>
              </w:rPr>
              <w:t>Prof. Dr. Friedrich Witzleben</w:t>
            </w:r>
          </w:p>
        </w:tc>
        <w:tc>
          <w:tcPr>
            <w:tcW w:type="dxa" w:w="3024"/>
          </w:tcPr>
          <w:p>
            <w:r>
              <w:rPr>
                <w:rFonts w:ascii="Times New Roman" w:hAnsi="Times New Roman"/>
                <w:sz w:val="20"/>
              </w:rPr>
              <w:t>Schwerpunktbetreuer IPR, Uni Bonn</w:t>
            </w:r>
          </w:p>
        </w:tc>
        <w:tc>
          <w:tcPr>
            <w:tcW w:type="dxa" w:w="3024"/>
          </w:tcPr>
          <w:p>
            <w:r>
              <w:rPr>
                <w:rFonts w:ascii="Times New Roman" w:hAnsi="Times New Roman"/>
                <w:sz w:val="20"/>
              </w:rPr>
              <w:t>Lehrstuhl, Juridicum Bonn</w:t>
            </w:r>
          </w:p>
        </w:tc>
      </w:tr>
      <w:tr>
        <w:tc>
          <w:tcPr>
            <w:tcW w:type="dxa" w:w="3024"/>
          </w:tcPr>
          <w:p>
            <w:r>
              <w:rPr>
                <w:rFonts w:ascii="Times New Roman" w:hAnsi="Times New Roman"/>
                <w:sz w:val="20"/>
              </w:rPr>
              <w:t>Dr. Annette Dueck</w:t>
            </w:r>
          </w:p>
        </w:tc>
        <w:tc>
          <w:tcPr>
            <w:tcW w:type="dxa" w:w="3024"/>
          </w:tcPr>
          <w:p>
            <w:r>
              <w:rPr>
                <w:rFonts w:ascii="Times New Roman" w:hAnsi="Times New Roman"/>
                <w:sz w:val="20"/>
              </w:rPr>
              <w:t>Mentorin, Wiss. Mitarbeiterin</w:t>
            </w:r>
          </w:p>
        </w:tc>
        <w:tc>
          <w:tcPr>
            <w:tcW w:type="dxa" w:w="3024"/>
          </w:tcPr>
          <w:p>
            <w:r>
              <w:rPr>
                <w:rFonts w:ascii="Times New Roman" w:hAnsi="Times New Roman"/>
                <w:sz w:val="20"/>
              </w:rPr>
              <w:t>Lehrstuhl Witzleben</w:t>
            </w:r>
          </w:p>
        </w:tc>
      </w:tr>
      <w:tr>
        <w:tc>
          <w:tcPr>
            <w:tcW w:type="dxa" w:w="3024"/>
          </w:tcPr>
          <w:p>
            <w:r>
              <w:rPr>
                <w:rFonts w:ascii="Times New Roman" w:hAnsi="Times New Roman"/>
                <w:sz w:val="20"/>
              </w:rPr>
              <w:t>JPA beim OLG Köln</w:t>
            </w:r>
          </w:p>
        </w:tc>
        <w:tc>
          <w:tcPr>
            <w:tcW w:type="dxa" w:w="3024"/>
          </w:tcPr>
          <w:p>
            <w:r>
              <w:rPr>
                <w:rFonts w:ascii="Times New Roman" w:hAnsi="Times New Roman"/>
                <w:sz w:val="20"/>
              </w:rPr>
              <w:t>Prüfungsbehörde</w:t>
            </w:r>
          </w:p>
        </w:tc>
        <w:tc>
          <w:tcPr>
            <w:tcW w:type="dxa" w:w="3024"/>
          </w:tcPr>
          <w:p>
            <w:r>
              <w:rPr>
                <w:rFonts w:ascii="Times New Roman" w:hAnsi="Times New Roman"/>
                <w:sz w:val="20"/>
              </w:rPr>
              <w:t>Reichenspergerplatz 1, 50670 Köln</w:t>
            </w:r>
          </w:p>
        </w:tc>
      </w:tr>
      <w:tr>
        <w:tc>
          <w:tcPr>
            <w:tcW w:type="dxa" w:w="3024"/>
          </w:tcPr>
          <w:p>
            <w:r>
              <w:rPr>
                <w:rFonts w:ascii="Times New Roman" w:hAnsi="Times New Roman"/>
                <w:sz w:val="20"/>
              </w:rPr>
              <w:t>Prüfungsamt Rechtswissenschaften Uni Bonn</w:t>
            </w:r>
          </w:p>
        </w:tc>
        <w:tc>
          <w:tcPr>
            <w:tcW w:type="dxa" w:w="3024"/>
          </w:tcPr>
          <w:p>
            <w:r>
              <w:rPr>
                <w:rFonts w:ascii="Times New Roman" w:hAnsi="Times New Roman"/>
                <w:sz w:val="20"/>
              </w:rPr>
              <w:t>Studienrechtliche Fragen</w:t>
            </w:r>
          </w:p>
        </w:tc>
        <w:tc>
          <w:tcPr>
            <w:tcW w:type="dxa" w:w="3024"/>
          </w:tcPr>
          <w:p>
            <w:r>
              <w:rPr>
                <w:rFonts w:ascii="Times New Roman" w:hAnsi="Times New Roman"/>
                <w:sz w:val="20"/>
              </w:rPr>
              <w:t>Juridicum Adenauerallee 24–42, Bonn</w:t>
            </w:r>
          </w:p>
        </w:tc>
      </w:tr>
      <w:tr>
        <w:tc>
          <w:tcPr>
            <w:tcW w:type="dxa" w:w="3024"/>
          </w:tcPr>
          <w:p>
            <w:r>
              <w:rPr>
                <w:rFonts w:ascii="Times New Roman" w:hAnsi="Times New Roman"/>
                <w:sz w:val="20"/>
              </w:rPr>
              <w:t>Alpmann Schmidt Repetitorium Bonn</w:t>
            </w:r>
          </w:p>
        </w:tc>
        <w:tc>
          <w:tcPr>
            <w:tcW w:type="dxa" w:w="3024"/>
          </w:tcPr>
          <w:p>
            <w:r>
              <w:rPr>
                <w:rFonts w:ascii="Times New Roman" w:hAnsi="Times New Roman"/>
                <w:sz w:val="20"/>
              </w:rPr>
              <w:t>Repetitorium</w:t>
            </w:r>
          </w:p>
        </w:tc>
        <w:tc>
          <w:tcPr>
            <w:tcW w:type="dxa" w:w="3024"/>
          </w:tcPr>
          <w:p>
            <w:r>
              <w:rPr>
                <w:rFonts w:ascii="Times New Roman" w:hAnsi="Times New Roman"/>
                <w:sz w:val="20"/>
              </w:rPr>
              <w:t>Niederlassung Bonn</w:t>
            </w:r>
          </w:p>
        </w:tc>
      </w:tr>
      <w:tr>
        <w:tc>
          <w:tcPr>
            <w:tcW w:type="dxa" w:w="3024"/>
          </w:tcPr>
          <w:p>
            <w:r>
              <w:rPr>
                <w:rFonts w:ascii="Times New Roman" w:hAnsi="Times New Roman"/>
                <w:sz w:val="20"/>
              </w:rPr>
              <w:t>Gerhard Roosendaal-Tinnefeld</w:t>
            </w:r>
          </w:p>
        </w:tc>
        <w:tc>
          <w:tcPr>
            <w:tcW w:type="dxa" w:w="3024"/>
          </w:tcPr>
          <w:p>
            <w:r>
              <w:rPr>
                <w:rFonts w:ascii="Times New Roman" w:hAnsi="Times New Roman"/>
                <w:sz w:val="20"/>
              </w:rPr>
              <w:t>Vater, Wirtschaftsanwalt Köln</w:t>
            </w:r>
          </w:p>
        </w:tc>
        <w:tc>
          <w:tcPr>
            <w:tcW w:type="dxa" w:w="3024"/>
          </w:tcPr>
          <w:p>
            <w:r>
              <w:rPr>
                <w:rFonts w:ascii="Times New Roman" w:hAnsi="Times New Roman"/>
                <w:sz w:val="20"/>
              </w:rPr>
              <w:t>Familienangehöriger</w:t>
            </w:r>
          </w:p>
        </w:tc>
      </w:tr>
    </w:tbl>
    <w:p/>
    <w:p>
      <w:pPr>
        <w:pStyle w:val="Heading2"/>
      </w:pPr>
      <w:r>
        <w:rPr>
          <w:rFonts w:ascii="Times New Roman" w:hAnsi="Times New Roman"/>
        </w:rPr>
        <w:t>Quellen</w:t>
      </w:r>
    </w:p>
    <w:p>
      <w:pPr>
        <w:pStyle w:val="ListBullet"/>
      </w:pPr>
      <w:r>
        <w:t>JAG NRW (Juristenausbildungsgesetz Nordrhein-Westfalen), abrufbar über dejure.org</w:t>
      </w:r>
    </w:p>
    <w:p>
      <w:pPr>
        <w:pStyle w:val="ListBullet"/>
      </w:pPr>
      <w:r>
        <w:t>Studienordnung Rechtswissenschaften Uni Bonn (2020)</w:t>
      </w:r>
    </w:p>
    <w:p>
      <w:pPr>
        <w:pStyle w:val="ListBullet"/>
      </w:pPr>
      <w:r>
        <w:t>JPA NRW, Hinweise zum Prüfungsverfahren (Stand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