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— Stoffplanung BGB: Überblick AT / SchuldR / SachenR / FamR / ErbR</w:t>
      </w:r>
    </w:p>
    <w:p>
      <w:pPr>
        <w:jc w:val="left"/>
      </w:pPr>
      <w:r>
        <w:rPr>
          <w:b/>
        </w:rPr>
        <w:t>Kontext:</w:t>
      </w:r>
      <w:r>
        <w:t xml:space="preserve"> Examensvorbereitung Roosendaal-Tinnefeld, Bonn, Frühjahr 2027</w:t>
      </w:r>
    </w:p>
    <w:p>
      <w:pPr>
        <w:jc w:val="left"/>
      </w:pPr>
      <w:r>
        <w:rPr>
          <w:b/>
        </w:rPr>
        <w:t>Rechtsgrundlage:</w:t>
      </w:r>
      <w:r>
        <w:t xml:space="preserve"> BGB in der aktuellen Fassung, abrufbar bei dejure.org/gesetze/BGB</w:t>
      </w:r>
    </w:p>
    <w:p/>
    <w:p>
      <w:pPr>
        <w:pStyle w:val="Heading2"/>
      </w:pPr>
      <w:r>
        <w:rPr>
          <w:rFonts w:ascii="Times New Roman" w:hAnsi="Times New Roman"/>
        </w:rPr>
        <w:t>BGB Allgemeiner Teil (§§ 1–240 BGB)</w:t>
      </w:r>
    </w:p>
    <w:p>
      <w:pPr>
        <w:jc w:val="left"/>
      </w:pPr>
      <w:r>
        <w:t>Der AT ist Grundlage für alle zivilrechtlichen Klausuren und in NRW regelmäßig in die Falllösung einzubetten. Examensrelevante Schwerpunkte:</w:t>
      </w:r>
    </w:p>
    <w:p>
      <w:pPr>
        <w:pStyle w:val="Heading3"/>
      </w:pPr>
      <w:r>
        <w:rPr>
          <w:rFonts w:ascii="Times New Roman" w:hAnsi="Times New Roman"/>
        </w:rPr>
        <w:t>Willenserklärung und Vertragsschluss (§§ 116–157 BGB)</w:t>
      </w:r>
    </w:p>
    <w:p>
      <w:pPr>
        <w:pStyle w:val="ListBullet"/>
      </w:pPr>
      <w:r>
        <w:t>Abgrenzung invitatio ad offerendum / Antrag</w:t>
      </w:r>
    </w:p>
    <w:p>
      <w:pPr>
        <w:pStyle w:val="ListBullet"/>
      </w:pPr>
      <w:r>
        <w:t>Auslegung nach §§ 133, 157 BGB (BGH-Formel: objektiver Empfängerhorizont)</w:t>
      </w:r>
    </w:p>
    <w:p>
      <w:pPr>
        <w:pStyle w:val="ListBullet"/>
      </w:pPr>
      <w:r>
        <w:t>Schweigen als Willenserklärung (kaufmännisches Bestätigungsschreiben, § 362 HGB analog)</w:t>
      </w:r>
    </w:p>
    <w:p>
      <w:pPr>
        <w:pStyle w:val="ListBullet"/>
      </w:pPr>
      <w:r>
        <w:t>Dissens, §§ 154, 155 BGB: offener vs. versteckter Dissens</w:t>
      </w:r>
    </w:p>
    <w:p>
      <w:pPr>
        <w:pStyle w:val="Heading3"/>
      </w:pPr>
      <w:r>
        <w:rPr>
          <w:rFonts w:ascii="Times New Roman" w:hAnsi="Times New Roman"/>
        </w:rPr>
        <w:t>Stellvertretung (§§ 164–181 BGB)</w:t>
      </w:r>
    </w:p>
    <w:p>
      <w:pPr>
        <w:pStyle w:val="ListBullet"/>
      </w:pPr>
      <w:r>
        <w:t>Offenkundigkeitsprinzip, § 164 Abs. 1 BGB</w:t>
      </w:r>
    </w:p>
    <w:p>
      <w:pPr>
        <w:pStyle w:val="ListBullet"/>
      </w:pPr>
      <w:r>
        <w:t>Rechtsscheinvollmacht: Duldungs- und Anscheinsvollmacht (BGH-Rechtsprechung beachten)</w:t>
      </w:r>
    </w:p>
    <w:p>
      <w:pPr>
        <w:pStyle w:val="ListBullet"/>
      </w:pPr>
      <w:r>
        <w:t>Insichgeschäft, § 181 BGB, Ausnahmen</w:t>
      </w:r>
    </w:p>
    <w:p>
      <w:pPr>
        <w:pStyle w:val="ListBullet"/>
      </w:pPr>
      <w:r>
        <w:t>Handeln ohne Vertretungsmacht, § 179 BGB</w:t>
      </w:r>
    </w:p>
    <w:p>
      <w:pPr>
        <w:pStyle w:val="Heading3"/>
      </w:pPr>
      <w:r>
        <w:rPr>
          <w:rFonts w:ascii="Times New Roman" w:hAnsi="Times New Roman"/>
        </w:rPr>
        <w:t>Anfechtung (§§ 119–124 BGB)</w:t>
      </w:r>
    </w:p>
    <w:p>
      <w:pPr>
        <w:pStyle w:val="ListBullet"/>
      </w:pPr>
      <w:r>
        <w:t>Irrtümer: Inhalts-, Erklärungsirrtum, § 119 Abs. 1 BGB</w:t>
      </w:r>
    </w:p>
    <w:p>
      <w:pPr>
        <w:pStyle w:val="ListBullet"/>
      </w:pPr>
      <w:r>
        <w:t>Eigenschaftsirrtum, § 119 Abs. 2 BGB — Abgrenzung zu Gewährleistung</w:t>
      </w:r>
    </w:p>
    <w:p>
      <w:pPr>
        <w:pStyle w:val="ListBullet"/>
      </w:pPr>
      <w:r>
        <w:t>Arglistige Täuschung, § 123 BGB</w:t>
      </w:r>
    </w:p>
    <w:p>
      <w:pPr>
        <w:pStyle w:val="ListBullet"/>
      </w:pPr>
      <w:r>
        <w:t>Anfechtungsfrist, § 121 BGB (unverzüglich) vs. § 124 BGB (1 Jahr)</w:t>
      </w:r>
    </w:p>
    <w:p>
      <w:pPr>
        <w:pStyle w:val="ListBullet"/>
      </w:pPr>
      <w:r>
        <w:t>Rechtsfolgen: Ex-tunc-Nichtigkeit, Schadensersatz § 122 BGB</w:t>
      </w:r>
    </w:p>
    <w:p>
      <w:pPr>
        <w:pStyle w:val="Heading3"/>
      </w:pPr>
      <w:r>
        <w:rPr>
          <w:rFonts w:ascii="Times New Roman" w:hAnsi="Times New Roman"/>
        </w:rPr>
        <w:t>Geschäftsfähigkeit (§§ 104–113 BGB)</w:t>
      </w:r>
    </w:p>
    <w:p>
      <w:pPr>
        <w:pStyle w:val="ListBullet"/>
      </w:pPr>
      <w:r>
        <w:t>Minderjährige: §§ 107, 108 BGB (schwebende Unwirksamkeit)</w:t>
      </w:r>
    </w:p>
    <w:p>
      <w:pPr>
        <w:pStyle w:val="ListBullet"/>
      </w:pPr>
      <w:r>
        <w:t>§ 110 BGB: Taschengeldparagraf — Examensklassiker</w:t>
      </w:r>
    </w:p>
    <w:p>
      <w:pPr>
        <w:pStyle w:val="Heading3"/>
      </w:pPr>
      <w:r>
        <w:rPr>
          <w:rFonts w:ascii="Times New Roman" w:hAnsi="Times New Roman"/>
        </w:rPr>
        <w:t>Formerfordernisse</w:t>
      </w:r>
    </w:p>
    <w:p>
      <w:pPr>
        <w:pStyle w:val="ListBullet"/>
      </w:pPr>
      <w:r>
        <w:t>§ 125 BGB Formverstoß, Rechtsfolge Nichtigkeit</w:t>
      </w:r>
    </w:p>
    <w:p>
      <w:pPr>
        <w:pStyle w:val="ListBullet"/>
      </w:pPr>
      <w:r>
        <w:t>Heilung nach § 311b Abs. 1 S. 2 BGB (Grundstücksgeschäfte)</w:t>
      </w:r>
    </w:p>
    <w:p>
      <w:pPr>
        <w:pStyle w:val="Heading3"/>
      </w:pPr>
      <w:r>
        <w:rPr>
          <w:rFonts w:ascii="Times New Roman" w:hAnsi="Times New Roman"/>
        </w:rPr>
        <w:t>Nichtigkeit und Anfechtbarkeit</w:t>
      </w:r>
    </w:p>
    <w:p>
      <w:pPr>
        <w:pStyle w:val="ListBullet"/>
      </w:pPr>
      <w:r>
        <w:t>§ 134 BGB (gesetzliches Verbot): Verbotsgesetze im Examen</w:t>
      </w:r>
    </w:p>
    <w:p>
      <w:pPr>
        <w:pStyle w:val="ListBullet"/>
      </w:pPr>
      <w:r>
        <w:t>§ 138 BGB: Sittenwidrigkeit, § 138 Abs. 2 BGB Wucher</w:t>
      </w:r>
    </w:p>
    <w:p>
      <w:pPr>
        <w:pStyle w:val="ListBullet"/>
      </w:pPr>
      <w:r>
        <w:t>Teilnichtigkeit, § 139 BGB</w:t>
      </w:r>
    </w:p>
    <w:p/>
    <w:p>
      <w:pPr>
        <w:pStyle w:val="Heading2"/>
      </w:pPr>
      <w:r>
        <w:rPr>
          <w:rFonts w:ascii="Times New Roman" w:hAnsi="Times New Roman"/>
        </w:rPr>
        <w:t>Schuldrecht (§§ 241–853 BGB)</w:t>
      </w:r>
    </w:p>
    <w:p>
      <w:pPr>
        <w:pStyle w:val="Heading3"/>
      </w:pPr>
      <w:r>
        <w:rPr>
          <w:rFonts w:ascii="Times New Roman" w:hAnsi="Times New Roman"/>
        </w:rPr>
        <w:t>Allgemeines Schuldrecht</w:t>
      </w:r>
    </w:p>
    <w:p>
      <w:pPr>
        <w:pStyle w:val="ListBullet"/>
      </w:pPr>
      <w:r>
        <w:t>Leistungspflichten, § 241 BGB; Nebenpflichten, § 241 Abs. 2 BGB</w:t>
      </w:r>
    </w:p>
    <w:p>
      <w:pPr>
        <w:pStyle w:val="ListBullet"/>
      </w:pPr>
      <w:r>
        <w:t>Pflichtverletzung und Vertretenmüssen, §§ 276, 278 BGB</w:t>
      </w:r>
    </w:p>
    <w:p>
      <w:pPr>
        <w:pStyle w:val="ListBullet"/>
      </w:pPr>
      <w:r>
        <w:t>Unmöglichkeit: §§ 275, 283, 326 BGB — Abgrenzung anfängliche/nachträgliche, subjektive/objektive Unmöglichkeit</w:t>
      </w:r>
    </w:p>
    <w:p>
      <w:pPr>
        <w:pStyle w:val="ListBullet"/>
      </w:pPr>
      <w:r>
        <w:t>Verzug: §§ 286–288 BGB; Verzug ohne Mahnung, § 286 Abs. 2 BGB</w:t>
      </w:r>
    </w:p>
    <w:p>
      <w:pPr>
        <w:pStyle w:val="ListBullet"/>
      </w:pPr>
      <w:r>
        <w:t>Schadensersatz: §§ 280 ff. BGB — Aufbauschema strikt beachten</w:t>
      </w:r>
    </w:p>
    <w:p>
      <w:pPr>
        <w:pStyle w:val="ListBullet"/>
      </w:pPr>
      <w:r>
        <w:t>Rücktritt: §§ 323–325 BGB; Abtretungsverbote, §§ 399, 400 BGB</w:t>
      </w:r>
    </w:p>
    <w:p>
      <w:pPr>
        <w:pStyle w:val="Heading3"/>
      </w:pPr>
      <w:r>
        <w:rPr>
          <w:rFonts w:ascii="Times New Roman" w:hAnsi="Times New Roman"/>
        </w:rPr>
        <w:t>Besonderes Schuldrecht</w:t>
      </w:r>
    </w:p>
    <w:p>
      <w:pPr>
        <w:pStyle w:val="ListBullet"/>
      </w:pPr>
      <w:r>
        <w:t>Kaufrecht: §§ 433 ff. BGB; Mängel, § 434 BGB (neu: Beschaffenheitsvereinbarung, Montagefehler)</w:t>
      </w:r>
    </w:p>
    <w:p>
      <w:pPr>
        <w:pStyle w:val="ListBullet"/>
      </w:pPr>
      <w:r>
        <w:t>Werkvertrag: §§ 631 ff. BGB; Abnahme, § 640 BGB, Mängelhaftung</w:t>
      </w:r>
    </w:p>
    <w:p>
      <w:pPr>
        <w:pStyle w:val="ListBullet"/>
      </w:pPr>
      <w:r>
        <w:t>Dienstvertrag und Auftrag, §§ 611 ff., 662 ff. BGB</w:t>
      </w:r>
    </w:p>
    <w:p>
      <w:pPr>
        <w:pStyle w:val="ListBullet"/>
      </w:pPr>
      <w:r>
        <w:t>Mietrecht: §§ 535 ff. BGB — Examensrelevanz Kündigung, Schönheitsreparaturen</w:t>
      </w:r>
    </w:p>
    <w:p>
      <w:pPr>
        <w:pStyle w:val="ListBullet"/>
      </w:pPr>
      <w:r>
        <w:t>Bereicherungsrecht: §§ 812 ff. BGB — Leistungs- vs. Nichtleistungskondiktion; Dreipersonenverhältnisse</w:t>
      </w:r>
    </w:p>
    <w:p>
      <w:pPr>
        <w:pStyle w:val="ListBullet"/>
      </w:pPr>
      <w:r>
        <w:t>Deliktsrecht: §§ 823 ff. BGB; § 823 Abs. 1 (Rechtsgutverletzung), § 823 Abs. 2 (Schutzgesetz), § 826 BGB; Produzentenhaftung (BGH-Leitentscheidungen)</w:t>
      </w:r>
    </w:p>
    <w:p>
      <w:pPr>
        <w:pStyle w:val="Heading3"/>
      </w:pPr>
      <w:r>
        <w:rPr>
          <w:rFonts w:ascii="Times New Roman" w:hAnsi="Times New Roman"/>
        </w:rPr>
        <w:t>AGB-Recht (§§ 305–310 BGB)</w:t>
      </w:r>
    </w:p>
    <w:p>
      <w:pPr>
        <w:pStyle w:val="ListBullet"/>
      </w:pPr>
      <w:r>
        <w:t>Einbeziehung, § 305 Abs. 2 BGB</w:t>
      </w:r>
    </w:p>
    <w:p>
      <w:pPr>
        <w:pStyle w:val="ListBullet"/>
      </w:pPr>
      <w:r>
        <w:t>Inhaltskontrolle, §§ 307–309 BGB</w:t>
      </w:r>
    </w:p>
    <w:p>
      <w:pPr>
        <w:pStyle w:val="ListBullet"/>
      </w:pPr>
      <w:r>
        <w:t>Im Unternehmerverkehr (B2B): § 310 Abs. 1 BGB — eingeschränkte Kontrolle</w:t>
      </w:r>
    </w:p>
    <w:p/>
    <w:p>
      <w:pPr>
        <w:pStyle w:val="Heading2"/>
      </w:pPr>
      <w:r>
        <w:rPr>
          <w:rFonts w:ascii="Times New Roman" w:hAnsi="Times New Roman"/>
        </w:rPr>
        <w:t>Sachenrecht (§§ 854–1296 BGB)</w:t>
      </w:r>
    </w:p>
    <w:p>
      <w:pPr>
        <w:pStyle w:val="ListBullet"/>
      </w:pPr>
      <w:r>
        <w:t>Bestimmtheitsgrundsatz und Spezialitätsprinzip</w:t>
      </w:r>
    </w:p>
    <w:p>
      <w:pPr>
        <w:pStyle w:val="ListBullet"/>
      </w:pPr>
      <w:r>
        <w:t>Besitz: §§ 854–872 BGB; mittelbarer Besitz, Besitzdiener</w:t>
      </w:r>
    </w:p>
    <w:p>
      <w:pPr>
        <w:pStyle w:val="ListBullet"/>
      </w:pPr>
      <w:r>
        <w:t>Eigentumserwerb beweglicher Sachen: §§ 929 ff. BGB; Übereignung durch Einigung und Übergabe</w:t>
      </w:r>
    </w:p>
    <w:p>
      <w:pPr>
        <w:pStyle w:val="ListBullet"/>
      </w:pPr>
      <w:r>
        <w:t>Gutgläubiger Erwerb: §§ 932 ff. BGB; Abhandenkommen, § 935 BGB</w:t>
      </w:r>
    </w:p>
    <w:p>
      <w:pPr>
        <w:pStyle w:val="ListBullet"/>
      </w:pPr>
      <w:r>
        <w:t>Sicherungsübereignung, Eigentumsvorbehalt (einfach/verlängert/erweiterter Eigentumsvorbehalt)</w:t>
      </w:r>
    </w:p>
    <w:p>
      <w:pPr>
        <w:pStyle w:val="ListBullet"/>
      </w:pPr>
      <w:r>
        <w:t>Grundstücksrecht: §§ 873, 925 BGB; Auflassung; Grundbuch; Gutgläubiger Erwerb, § 892 BGB</w:t>
      </w:r>
    </w:p>
    <w:p>
      <w:pPr>
        <w:pStyle w:val="ListBullet"/>
      </w:pPr>
      <w:r>
        <w:t>Grundpfandrechte: Hypothek, §§ 1113 ff. BGB; Grundschuld, §§ 1191 ff. BGB</w:t>
      </w:r>
    </w:p>
    <w:p>
      <w:pPr>
        <w:pStyle w:val="ListBullet"/>
      </w:pPr>
      <w:r>
        <w:t>Nießbrauch, §§ 1030 ff. BGB (seltener, aber examensmöglich)</w:t>
      </w:r>
    </w:p>
    <w:p/>
    <w:p>
      <w:pPr>
        <w:pStyle w:val="Heading2"/>
      </w:pPr>
      <w:r>
        <w:rPr>
          <w:rFonts w:ascii="Times New Roman" w:hAnsi="Times New Roman"/>
        </w:rPr>
        <w:t>Familienrecht (§§ 1297–1921 BGB)</w:t>
      </w:r>
    </w:p>
    <w:p>
      <w:pPr>
        <w:pStyle w:val="ListBullet"/>
      </w:pPr>
      <w:r>
        <w:t>Eheschließungsrecht: §§ 1303 ff. BGB</w:t>
      </w:r>
    </w:p>
    <w:p>
      <w:pPr>
        <w:pStyle w:val="ListBullet"/>
      </w:pPr>
      <w:r>
        <w:t>Eheliche Lebensgemeinschaft, § 1353 BGB</w:t>
      </w:r>
    </w:p>
    <w:p>
      <w:pPr>
        <w:pStyle w:val="ListBullet"/>
      </w:pPr>
      <w:r>
        <w:t>Güterrecht: gesetzliche Zugewinngemeinschaft, §§ 1363 ff. BGB; Gütertrennung, Gütergemeinschaft</w:t>
      </w:r>
    </w:p>
    <w:p>
      <w:pPr>
        <w:pStyle w:val="ListBullet"/>
      </w:pPr>
      <w:r>
        <w:t>Unterhalt: Trennungsunterhalt § 1361 BGB; nachehelicher Unterhalt §§ 1569 ff. BGB</w:t>
      </w:r>
    </w:p>
    <w:p>
      <w:pPr>
        <w:pStyle w:val="ListBullet"/>
      </w:pPr>
      <w:r>
        <w:t>Kindschaftsrecht: §§ 1626 ff. BGB; elterliche Sorge, Umgangsrecht § 1684 BGB</w:t>
      </w:r>
    </w:p>
    <w:p>
      <w:pPr>
        <w:pStyle w:val="ListBullet"/>
      </w:pPr>
      <w:r>
        <w:t>Vaterschaftsanfechtung, §§ 1591 ff. BGB</w:t>
      </w:r>
    </w:p>
    <w:p>
      <w:pPr>
        <w:pStyle w:val="ListBullet"/>
      </w:pPr>
      <w:r>
        <w:t>IPR-Bezug: Art. 17, 18 EGBGB, Rom III-VO (Scheidungsstatut)</w:t>
      </w:r>
    </w:p>
    <w:p/>
    <w:p>
      <w:pPr>
        <w:pStyle w:val="Heading2"/>
      </w:pPr>
      <w:r>
        <w:rPr>
          <w:rFonts w:ascii="Times New Roman" w:hAnsi="Times New Roman"/>
        </w:rPr>
        <w:t>Erbrecht (§§ 1922–2385 BGB)</w:t>
      </w:r>
    </w:p>
    <w:p>
      <w:pPr>
        <w:pStyle w:val="ListBullet"/>
      </w:pPr>
      <w:r>
        <w:t>Gesamtrechtsnachfolge, § 1922 BGB</w:t>
      </w:r>
    </w:p>
    <w:p>
      <w:pPr>
        <w:pStyle w:val="ListBullet"/>
      </w:pPr>
      <w:r>
        <w:t>Gesetzliche Erbfolge: §§ 1924–1936 BGB; Parentelordnung</w:t>
      </w:r>
    </w:p>
    <w:p>
      <w:pPr>
        <w:pStyle w:val="ListBullet"/>
      </w:pPr>
      <w:r>
        <w:t>Testament: §§ 2064 ff. BGB; eigenhändiges Testament, § 2247 BGB; gemeinschaftliches Testament, § 2265 BGB</w:t>
      </w:r>
    </w:p>
    <w:p>
      <w:pPr>
        <w:pStyle w:val="ListBullet"/>
      </w:pPr>
      <w:r>
        <w:t>Erbvertrag, §§ 2274 ff. BGB</w:t>
      </w:r>
    </w:p>
    <w:p>
      <w:pPr>
        <w:pStyle w:val="ListBullet"/>
      </w:pPr>
      <w:r>
        <w:t>Pflichtteil: §§ 2303 ff. BGB; Pflichtteilsberechtigte, Pflichtteilsergänzung</w:t>
      </w:r>
    </w:p>
    <w:p>
      <w:pPr>
        <w:pStyle w:val="ListBullet"/>
      </w:pPr>
      <w:r>
        <w:t>Erbenhaftung: §§ 1967 ff. BGB; Nachlassverwaltung, Insolvenz</w:t>
      </w:r>
    </w:p>
    <w:p>
      <w:pPr>
        <w:pStyle w:val="ListBullet"/>
      </w:pPr>
      <w:r>
        <w:t>IPR im Erbrecht: EuErbVO (EU-Erbrechtsverordnung, VO 650/2012)</w:t>
      </w:r>
    </w:p>
    <w:p/>
    <w:p>
      <w:pPr>
        <w:pStyle w:val="Heading2"/>
      </w:pPr>
      <w:r>
        <w:rPr>
          <w:rFonts w:ascii="Times New Roman" w:hAnsi="Times New Roman"/>
        </w:rPr>
        <w:t>Lernhinweise für Annika</w:t>
      </w:r>
    </w:p>
    <w:p>
      <w:pPr>
        <w:pStyle w:val="ListBullet"/>
      </w:pPr>
      <w:r>
        <w:t xml:space="preserve">Monatliches Rotationsschema: BGB-Blöcke im Wechsel mit StR und ÖR (Einzelheiten in Aktenstück 10 und </w:t>
      </w:r>
      <w:r>
        <w:t>stoffplan_taglich_examensvorbereitung.xlsx</w:t>
      </w:r>
      <w:r>
        <w:t>).</w:t>
      </w:r>
    </w:p>
    <w:p>
      <w:pPr>
        <w:pStyle w:val="ListBullet"/>
      </w:pPr>
      <w:r>
        <w:t>Mindestanzahl Klausuren je Bereich bis Examen: AT 8, SchuldR 12, SachenR 8, FamR 4, ErbR 4.</w:t>
      </w:r>
    </w:p>
    <w:p>
      <w:pPr>
        <w:pStyle w:val="ListBullet"/>
      </w:pPr>
      <w:r>
        <w:t>Lernkartei: dejure.org Leitsätze für §§ 433, 434, 437, 280 BGB auswendig.</w:t>
      </w:r>
    </w:p>
    <w:p>
      <w:pPr>
        <w:pStyle w:val="ListBullet"/>
      </w:pPr>
      <w:r>
        <w:t>Referenzkommentar: Palandt/Grüneberg BGB (zugelassenes Hilfsmittel im 1. Staatsexamen NRW).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§§ 1–240 BGB bei dejure.org (BGB Allgemeiner Teil)</w:t>
      </w:r>
    </w:p>
    <w:p>
      <w:pPr>
        <w:pStyle w:val="ListBullet"/>
      </w:pPr>
      <w:r>
        <w:t>§§ 241–432 BGB bei dejure.org (Allgemeines Schuldrecht)</w:t>
      </w:r>
    </w:p>
    <w:p>
      <w:pPr>
        <w:pStyle w:val="ListBullet"/>
      </w:pPr>
      <w:r>
        <w:t>§§ 433–853 BGB bei dejure.org (Besonderes Schuldrecht und Deliktsrecht)</w:t>
      </w:r>
    </w:p>
    <w:p>
      <w:pPr>
        <w:pStyle w:val="ListBullet"/>
      </w:pPr>
      <w:r>
        <w:t>§§ 854–1296 BGB bei dejure.org (Sachenrecht)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