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Stoffplanung Strafrecht AT und BT</w:t>
      </w:r>
    </w:p>
    <w:p>
      <w:pPr>
        <w:jc w:val="left"/>
      </w:pPr>
      <w:r>
        <w:rPr>
          <w:b/>
        </w:rPr>
        <w:t>Kontext:</w:t>
      </w:r>
      <w:r>
        <w:t xml:space="preserve"> Examensvorbereitung Roosendaal-Tinnefeld, Bonn</w:t>
      </w:r>
    </w:p>
    <w:p>
      <w:pPr>
        <w:jc w:val="left"/>
      </w:pPr>
      <w:r>
        <w:rPr>
          <w:b/>
        </w:rPr>
        <w:t>Rechtsgrundlage:</w:t>
      </w:r>
      <w:r>
        <w:t xml:space="preserve"> StGB in der aktuellen Fassung, dejure.org/gesetze/StGB</w:t>
      </w:r>
    </w:p>
    <w:p/>
    <w:p>
      <w:pPr>
        <w:pStyle w:val="Heading2"/>
      </w:pPr>
      <w:r>
        <w:rPr>
          <w:rFonts w:ascii="Times New Roman" w:hAnsi="Times New Roman"/>
        </w:rPr>
        <w:t>Strafrecht Allgemeiner Teil (AT)</w:t>
      </w:r>
    </w:p>
    <w:p>
      <w:pPr>
        <w:pStyle w:val="Heading3"/>
      </w:pPr>
      <w:r>
        <w:rPr>
          <w:rFonts w:ascii="Times New Roman" w:hAnsi="Times New Roman"/>
        </w:rPr>
        <w:t>Deliktsaufbau (Vorsatzdelikt, Begehungsdelikt)</w:t>
      </w:r>
    </w:p>
    <w:p>
      <w:pPr>
        <w:jc w:val="left"/>
      </w:pPr>
      <w:r>
        <w:t>Annika hat hier ihren Hauptschwachpunkt. Der Aufbau muss automatisiert sein:</w:t>
      </w:r>
    </w:p>
    <w:p>
      <w:pPr>
        <w:jc w:val="left"/>
      </w:pPr>
      <w:r>
        <w:t>```</w:t>
      </w:r>
    </w:p>
    <w:p>
      <w:pPr>
        <w:jc w:val="left"/>
      </w:pPr>
      <w:r>
        <w:t>I.   Tatbestand</w:t>
      </w:r>
    </w:p>
    <w:p>
      <w:pPr>
        <w:pStyle w:val="ListNumber"/>
      </w:pPr>
      <w:r>
        <w:t>Objektiver Tatbestand</w:t>
      </w:r>
    </w:p>
    <w:p>
      <w:pPr>
        <w:jc w:val="left"/>
      </w:pPr>
      <w:r>
        <w:t>a) Tathandlung / Taterfolg</w:t>
      </w:r>
    </w:p>
    <w:p>
      <w:pPr>
        <w:jc w:val="left"/>
      </w:pPr>
      <w:r>
        <w:t>b) Kausalität (conditio sine qua non)</w:t>
      </w:r>
    </w:p>
    <w:p>
      <w:pPr>
        <w:jc w:val="left"/>
      </w:pPr>
      <w:r>
        <w:t>c) Objektive Zurechnung (Pflichtwidrigkeitszusammenhang, Risikoverwirklichung,</w:t>
      </w:r>
    </w:p>
    <w:p>
      <w:pPr>
        <w:jc w:val="left"/>
      </w:pPr>
      <w:r>
        <w:t>Schutzzweck der Norm)</w:t>
      </w:r>
    </w:p>
    <w:p>
      <w:pPr>
        <w:pStyle w:val="ListNumber"/>
      </w:pPr>
      <w:r>
        <w:t>Subjektiver Tatbestand</w:t>
      </w:r>
    </w:p>
    <w:p>
      <w:pPr>
        <w:jc w:val="left"/>
      </w:pPr>
      <w:r>
        <w:t>a) Vorsatz: Kenntnis aller objektiven Tatbestandsmerkmale + Wille zur</w:t>
      </w:r>
    </w:p>
    <w:p>
      <w:pPr>
        <w:jc w:val="left"/>
      </w:pPr>
      <w:r>
        <w:t>Tatbestandsverwirklichung (dolus directus I, II, dolus eventualis)</w:t>
      </w:r>
    </w:p>
    <w:p>
      <w:pPr>
        <w:jc w:val="left"/>
      </w:pPr>
      <w:r>
        <w:t>b) Besondere subjektive Merkmale (Absicht, Motiv)</w:t>
      </w:r>
    </w:p>
    <w:p>
      <w:pPr>
        <w:jc w:val="left"/>
      </w:pPr>
      <w:r>
        <w:t>II.  Rechtswidrigkeit</w:t>
      </w:r>
    </w:p>
    <w:p>
      <w:pPr>
        <w:pStyle w:val="ListNumber"/>
      </w:pPr>
      <w:r>
        <w:t>Notwehr (§ 32 StGB)</w:t>
      </w:r>
    </w:p>
    <w:p>
      <w:pPr>
        <w:pStyle w:val="ListNumber"/>
      </w:pPr>
      <w:r>
        <w:t>Rechtfertigender Notstand (§ 34 StGB)</w:t>
      </w:r>
    </w:p>
    <w:p>
      <w:pPr>
        <w:pStyle w:val="ListNumber"/>
      </w:pPr>
      <w:r>
        <w:t>Einwilligung</w:t>
      </w:r>
    </w:p>
    <w:p>
      <w:pPr>
        <w:jc w:val="left"/>
      </w:pPr>
      <w:r>
        <w:t>III. Schuld</w:t>
      </w:r>
    </w:p>
    <w:p>
      <w:pPr>
        <w:pStyle w:val="ListNumber"/>
      </w:pPr>
      <w:r>
        <w:t>Schuldunfähigkeit, §§ 19, 20 StGB</w:t>
      </w:r>
    </w:p>
    <w:p>
      <w:pPr>
        <w:pStyle w:val="ListNumber"/>
      </w:pPr>
      <w:r>
        <w:t>Verbotsirrtum, § 17 StGB (vermeidbar / unvermeidbar)</w:t>
      </w:r>
    </w:p>
    <w:p>
      <w:pPr>
        <w:pStyle w:val="ListNumber"/>
      </w:pPr>
      <w:r>
        <w:t>Entschuldigender Notstand, § 35 StGB</w:t>
      </w:r>
    </w:p>
    <w:p>
      <w:pPr>
        <w:jc w:val="left"/>
      </w:pPr>
      <w:r>
        <w:t>IV.  Strafbarkeit (Strafausschlussgründe, Strafverfolgungsvoraussetzungen)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Versuch (§§ 22, 23 StGB)</w:t>
      </w:r>
    </w:p>
    <w:p>
      <w:pPr>
        <w:pStyle w:val="ListBullet"/>
      </w:pPr>
      <w:r>
        <w:t>Tatentschluss + unmittelbares Ansetzen</w:t>
      </w:r>
    </w:p>
    <w:p>
      <w:pPr>
        <w:pStyle w:val="ListBullet"/>
      </w:pPr>
      <w:r>
        <w:t>Abgrenzung Vorbereitungshandlung/Versuch: subjektive Theorie (BGH)</w:t>
      </w:r>
    </w:p>
    <w:p>
      <w:pPr>
        <w:pStyle w:val="ListBullet"/>
      </w:pPr>
      <w:r>
        <w:t>Rücktritt vom Versuch, § 24 StGB: Abgrenzung beendeter/unbeendeter Versuch, freiwillig</w:t>
      </w:r>
    </w:p>
    <w:p>
      <w:pPr>
        <w:pStyle w:val="ListBullet"/>
      </w:pPr>
      <w:r>
        <w:t>Untauglicher Versuch und abergläubischer Versuch</w:t>
      </w:r>
    </w:p>
    <w:p>
      <w:pPr>
        <w:pStyle w:val="Heading3"/>
      </w:pPr>
      <w:r>
        <w:rPr>
          <w:rFonts w:ascii="Times New Roman" w:hAnsi="Times New Roman"/>
        </w:rPr>
        <w:t>Täterschaft und Teilnahme (§§ 25–31 StGB)</w:t>
      </w:r>
    </w:p>
    <w:p>
      <w:pPr>
        <w:pStyle w:val="ListBullet"/>
      </w:pPr>
      <w:r>
        <w:t>Unmittelbare Täterschaft, § 25 Abs. 1 Var. 1 StGB</w:t>
      </w:r>
    </w:p>
    <w:p>
      <w:pPr>
        <w:pStyle w:val="ListBullet"/>
      </w:pPr>
      <w:r>
        <w:t>Mittelbare Täterschaft, § 25 Abs. 1 Var. 2 StGB (Verantwortungsprinzip, Defizitlösung)</w:t>
      </w:r>
    </w:p>
    <w:p>
      <w:pPr>
        <w:pStyle w:val="ListBullet"/>
      </w:pPr>
      <w:r>
        <w:t>Mittäterschaft, § 25 Abs. 2 StGB: gemeinsamer Tatplan + Tatherrschaft</w:t>
      </w:r>
    </w:p>
    <w:p>
      <w:pPr>
        <w:pStyle w:val="ListBullet"/>
      </w:pPr>
      <w:r>
        <w:t>Anstiftung, § 26 StGB; Beihilfe, § 27 StGB</w:t>
      </w:r>
    </w:p>
    <w:p>
      <w:pPr>
        <w:pStyle w:val="ListBullet"/>
      </w:pPr>
      <w:r>
        <w:t>Akzessorietät der Teilnahme</w:t>
      </w:r>
    </w:p>
    <w:p>
      <w:pPr>
        <w:pStyle w:val="Heading3"/>
      </w:pPr>
      <w:r>
        <w:rPr>
          <w:rFonts w:ascii="Times New Roman" w:hAnsi="Times New Roman"/>
        </w:rPr>
        <w:t>Unterlassen (§§ 13, 323c StGB)</w:t>
      </w:r>
    </w:p>
    <w:p>
      <w:pPr>
        <w:pStyle w:val="ListBullet"/>
      </w:pPr>
      <w:r>
        <w:t>Echte Unterlassungsdelikte (§ 323c StGB: unterlassene Hilfeleistung)</w:t>
      </w:r>
    </w:p>
    <w:p>
      <w:pPr>
        <w:pStyle w:val="ListBullet"/>
      </w:pPr>
      <w:r>
        <w:t>Unechte Unterlassungsdelikte, § 13 StGB: Garantenstellung (Ingerenz, Gesetz, enge Lebensgemeinschaft, Übernahme)</w:t>
      </w:r>
    </w:p>
    <w:p>
      <w:pPr>
        <w:pStyle w:val="ListBullet"/>
      </w:pPr>
      <w:r>
        <w:t>Entsprechungsklausel, § 13 Abs. 1 a.E. StGB</w:t>
      </w:r>
    </w:p>
    <w:p>
      <w:pPr>
        <w:pStyle w:val="ListBullet"/>
      </w:pPr>
      <w:r>
        <w:t>Versuch beim unechten Unterlassen (besonders prüfungskritisch — Annika!)</w:t>
      </w:r>
    </w:p>
    <w:p>
      <w:pPr>
        <w:pStyle w:val="Heading3"/>
      </w:pPr>
      <w:r>
        <w:rPr>
          <w:rFonts w:ascii="Times New Roman" w:hAnsi="Times New Roman"/>
        </w:rPr>
        <w:t>Irrtümer</w:t>
      </w:r>
    </w:p>
    <w:p>
      <w:pPr>
        <w:pStyle w:val="ListBullet"/>
      </w:pPr>
      <w:r>
        <w:t>Tatbestandsirrtum, § 16 StGB: schließt Vorsatz aus</w:t>
      </w:r>
    </w:p>
    <w:p>
      <w:pPr>
        <w:pStyle w:val="ListBullet"/>
      </w:pPr>
      <w:r>
        <w:t>Erlaubnistatbestandsirrtum: h.M. schuldlose Rechtfertigungslage</w:t>
      </w:r>
    </w:p>
    <w:p>
      <w:pPr>
        <w:pStyle w:val="ListBullet"/>
      </w:pPr>
      <w:r>
        <w:t>Verbotsirrtum, § 17 StGB: kein Schuldvorwurf bei Unvermeidbarkeit; Strafmilderung bei Vermeidbarkeit</w:t>
      </w:r>
    </w:p>
    <w:p>
      <w:pPr>
        <w:pStyle w:val="Heading3"/>
      </w:pPr>
      <w:r>
        <w:rPr>
          <w:rFonts w:ascii="Times New Roman" w:hAnsi="Times New Roman"/>
        </w:rPr>
        <w:t>Konkurrenzen</w:t>
      </w:r>
    </w:p>
    <w:p>
      <w:pPr>
        <w:pStyle w:val="ListBullet"/>
      </w:pPr>
      <w:r>
        <w:t>Gesetzeskonkurrenz: Spezialität, Subsidiarität, Konsumtion</w:t>
      </w:r>
    </w:p>
    <w:p>
      <w:pPr>
        <w:pStyle w:val="ListBullet"/>
      </w:pPr>
      <w:r>
        <w:t>Tateinheit, § 52 StGB</w:t>
      </w:r>
    </w:p>
    <w:p>
      <w:pPr>
        <w:pStyle w:val="ListBullet"/>
      </w:pPr>
      <w:r>
        <w:t>Tatmehrheit, § 53 StGB</w:t>
      </w:r>
    </w:p>
    <w:p/>
    <w:p>
      <w:pPr>
        <w:pStyle w:val="Heading2"/>
      </w:pPr>
      <w:r>
        <w:rPr>
          <w:rFonts w:ascii="Times New Roman" w:hAnsi="Times New Roman"/>
        </w:rPr>
        <w:t>Strafrecht Besonderer Teil (BT) — Examensrelevante Delikte</w:t>
      </w:r>
    </w:p>
    <w:p>
      <w:pPr>
        <w:pStyle w:val="Heading3"/>
      </w:pPr>
      <w:r>
        <w:rPr>
          <w:rFonts w:ascii="Times New Roman" w:hAnsi="Times New Roman"/>
        </w:rPr>
        <w:t>Tötungsdelikte (§§ 211–222 StGB)</w:t>
      </w:r>
    </w:p>
    <w:p>
      <w:pPr>
        <w:pStyle w:val="ListBullet"/>
      </w:pPr>
      <w:r>
        <w:t>Mord (§ 211 StGB): Mordmerkmale; Mordqualifikation abschließend</w:t>
      </w:r>
    </w:p>
    <w:p>
      <w:pPr>
        <w:pStyle w:val="ListBullet"/>
      </w:pPr>
      <w:r>
        <w:t>Totschlag (§ 212 StGB), minder schwerer Fall § 213 StGB</w:t>
      </w:r>
    </w:p>
    <w:p>
      <w:pPr>
        <w:pStyle w:val="ListBullet"/>
      </w:pPr>
      <w:r>
        <w:t>Fahrlässige Tötung, § 222 StGB</w:t>
      </w:r>
    </w:p>
    <w:p>
      <w:pPr>
        <w:pStyle w:val="ListBullet"/>
      </w:pPr>
      <w:r>
        <w:t>Sterbehilfe: aktive/passive, BGH-Rechtsprechung (BGH NJW 2010, 2963)</w:t>
      </w:r>
    </w:p>
    <w:p>
      <w:pPr>
        <w:pStyle w:val="Heading3"/>
      </w:pPr>
      <w:r>
        <w:rPr>
          <w:rFonts w:ascii="Times New Roman" w:hAnsi="Times New Roman"/>
        </w:rPr>
        <w:t>Körperverletzungsdelikte (§§ 223–231 StGB)</w:t>
      </w:r>
    </w:p>
    <w:p>
      <w:pPr>
        <w:pStyle w:val="ListBullet"/>
      </w:pPr>
      <w:r>
        <w:t>§ 223 StGB: körperliche Misshandlung oder Gesundheitsschädigung</w:t>
      </w:r>
    </w:p>
    <w:p>
      <w:pPr>
        <w:pStyle w:val="ListBullet"/>
      </w:pPr>
      <w:r>
        <w:t>§ 224 StGB: gefährliche Körperverletzung (Tatmodalitäten: gefährliches Werkzeug, Hinterhaltsweise)</w:t>
      </w:r>
    </w:p>
    <w:p>
      <w:pPr>
        <w:pStyle w:val="ListBullet"/>
      </w:pPr>
      <w:r>
        <w:t>§ 226 StGB: schwere Körperverletzung</w:t>
      </w:r>
    </w:p>
    <w:p>
      <w:pPr>
        <w:pStyle w:val="ListBullet"/>
      </w:pPr>
      <w:r>
        <w:t>Einwilligung und § 228 StGB (Sittenwidrigkeit)</w:t>
      </w:r>
    </w:p>
    <w:p>
      <w:pPr>
        <w:pStyle w:val="Heading3"/>
      </w:pPr>
      <w:r>
        <w:rPr>
          <w:rFonts w:ascii="Times New Roman" w:hAnsi="Times New Roman"/>
        </w:rPr>
        <w:t>Diebstahl und Vermögensdelikte (§§ 242–266b StGB)</w:t>
      </w:r>
    </w:p>
    <w:p>
      <w:pPr>
        <w:pStyle w:val="ListBullet"/>
      </w:pPr>
      <w:r>
        <w:t>Diebstahl, § 242 StGB: Fremdheit der Sache, Wegnahme, Zueignungsabsicht</w:t>
      </w:r>
    </w:p>
    <w:p>
      <w:pPr>
        <w:pStyle w:val="ListBullet"/>
      </w:pPr>
      <w:r>
        <w:t>Betrug, § 263 StGB: Täuschung — Irrtum — Vermögensverfügung — Vermögensschaden; Dreiecksbetrug</w:t>
      </w:r>
    </w:p>
    <w:p>
      <w:pPr>
        <w:pStyle w:val="ListBullet"/>
      </w:pPr>
      <w:r>
        <w:t>Untreue, § 266 StGB: Missbrauchs- und Treubruchstatbestand; Vermögensnachteil</w:t>
      </w:r>
    </w:p>
    <w:p>
      <w:pPr>
        <w:pStyle w:val="ListBullet"/>
      </w:pPr>
      <w:r>
        <w:t>Unterschlagung, § 246 StGB</w:t>
      </w:r>
    </w:p>
    <w:p>
      <w:pPr>
        <w:pStyle w:val="ListBullet"/>
      </w:pPr>
      <w:r>
        <w:t>Erpressung/Räuberische Erpressung, §§ 253, 255 StGB</w:t>
      </w:r>
    </w:p>
    <w:p>
      <w:pPr>
        <w:pStyle w:val="Heading3"/>
      </w:pPr>
      <w:r>
        <w:rPr>
          <w:rFonts w:ascii="Times New Roman" w:hAnsi="Times New Roman"/>
        </w:rPr>
        <w:t>Urkundsdelikte (§§ 267–281 StGB)</w:t>
      </w:r>
    </w:p>
    <w:p>
      <w:pPr>
        <w:pStyle w:val="ListBullet"/>
      </w:pPr>
      <w:r>
        <w:t>Urkundenfälschung, § 267 StGB: Urkunde, Aussteller, Täuschungsabsicht</w:t>
      </w:r>
    </w:p>
    <w:p>
      <w:pPr>
        <w:pStyle w:val="ListBullet"/>
      </w:pPr>
      <w:r>
        <w:t>Abgrenzung zu § 269 StGB (Datenfälschung)</w:t>
      </w:r>
    </w:p>
    <w:p>
      <w:pPr>
        <w:pStyle w:val="Heading3"/>
      </w:pPr>
      <w:r>
        <w:rPr>
          <w:rFonts w:ascii="Times New Roman" w:hAnsi="Times New Roman"/>
        </w:rPr>
        <w:t>Straßenverkehrsdelikte (§§ 315b, 315c, 316 StGB)</w:t>
      </w:r>
    </w:p>
    <w:p>
      <w:pPr>
        <w:pStyle w:val="ListBullet"/>
      </w:pPr>
      <w:r>
        <w:t>§ 316 StGB Trunkenheit im Verkehr: absolut/relativ fahruntüchtig</w:t>
      </w:r>
    </w:p>
    <w:p>
      <w:pPr>
        <w:pStyle w:val="ListBullet"/>
      </w:pPr>
      <w:r>
        <w:t>§ 315c StGB: konkrete Gefährdung, sieben Regeltatbestände</w:t>
      </w:r>
    </w:p>
    <w:p>
      <w:pPr>
        <w:pStyle w:val="Heading3"/>
      </w:pPr>
      <w:r>
        <w:rPr>
          <w:rFonts w:ascii="Times New Roman" w:hAnsi="Times New Roman"/>
        </w:rPr>
        <w:t>Sexualdelikte (§§ 174 ff. StGB)</w:t>
      </w:r>
    </w:p>
    <w:p>
      <w:pPr>
        <w:pStyle w:val="ListBullet"/>
      </w:pPr>
      <w:r>
        <w:t>§ 177 StGB (n.F. seit 2016): „Nein heißt Nein"-Prinzip</w:t>
      </w:r>
    </w:p>
    <w:p>
      <w:pPr>
        <w:pStyle w:val="ListBullet"/>
      </w:pPr>
      <w:r>
        <w:t>§ 184b StGB: Kinderpornografie</w:t>
      </w:r>
    </w:p>
    <w:p/>
    <w:p>
      <w:pPr>
        <w:pStyle w:val="Heading2"/>
      </w:pPr>
      <w:r>
        <w:rPr>
          <w:rFonts w:ascii="Times New Roman" w:hAnsi="Times New Roman"/>
        </w:rPr>
        <w:t>Lernplan Strafrecht (Annika, Oktober 2025 – Juni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Monat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Fokus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Oktober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AT Grundlagen: Aufbau, Kausalität, obj. Zurechnung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November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Versuch, Rücktritt, Täterschaft/Teilnahme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Dezember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Unterlassen, Irrtumslehre, Konkurrenzen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Januar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BT: Tötung, Körperverletzung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Februar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BT: Eigentumsdelikte, Vermögen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Wiederholung AT + BT, Probeklausuren</w:t>
            </w:r>
          </w:p>
        </w:tc>
      </w:tr>
    </w:tbl>
    <w:p>
      <w:pPr>
        <w:jc w:val="left"/>
      </w:pPr>
      <w:r>
        <w:rPr>
          <w:b/>
        </w:rPr>
        <w:t>Probeklausurziel:</w:t>
      </w:r>
      <w:r>
        <w:t xml:space="preserve"> 4 Probeklausuren StR AT, mind. Ø 6 Punkte bis Februar 2026.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StGB AT §§ 15–35 bei dejure.org</w:t>
      </w:r>
    </w:p>
    <w:p>
      <w:pPr>
        <w:pStyle w:val="ListBullet"/>
      </w:pPr>
      <w:r>
        <w:t>BGH Urteil 25.11.2010 — 2 StR 509/09 (Untreue)</w:t>
      </w:r>
    </w:p>
    <w:p>
      <w:pPr>
        <w:pStyle w:val="ListBullet"/>
      </w:pPr>
      <w:r>
        <w:t>openjur.de — BGH NJW 2010, 2963 (Sterbehilfe)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