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04 — Stoffplanung Öffentliches Recht: Verfassungsrecht und Verwaltungsrecht</w:t>
      </w:r>
    </w:p>
    <w:p>
      <w:pPr>
        <w:jc w:val="left"/>
      </w:pPr>
      <w:r>
        <w:rPr>
          <w:b/>
        </w:rPr>
        <w:t>Kontext:</w:t>
      </w:r>
      <w:r>
        <w:t xml:space="preserve"> Examensvorbereitung Roosendaal-Tinnefeld, Bonn</w:t>
      </w:r>
    </w:p>
    <w:p>
      <w:pPr>
        <w:jc w:val="left"/>
      </w:pPr>
      <w:r>
        <w:rPr>
          <w:b/>
        </w:rPr>
        <w:t>Rechtsgrundlagen:</w:t>
      </w:r>
      <w:r>
        <w:t xml:space="preserve"> GG, VwGO, VwVfG — abrufbar bei dejure.org</w:t>
      </w:r>
    </w:p>
    <w:p/>
    <w:p>
      <w:pPr>
        <w:pStyle w:val="Heading2"/>
      </w:pPr>
      <w:r>
        <w:rPr>
          <w:rFonts w:ascii="Times New Roman" w:hAnsi="Times New Roman"/>
        </w:rPr>
        <w:t>Verfassungsrecht (Grundgesetz)</w:t>
      </w:r>
    </w:p>
    <w:p>
      <w:pPr>
        <w:pStyle w:val="Heading3"/>
      </w:pPr>
      <w:r>
        <w:rPr>
          <w:rFonts w:ascii="Times New Roman" w:hAnsi="Times New Roman"/>
        </w:rPr>
        <w:t>Grundrechte (Art. 1–19 GG)</w:t>
      </w:r>
    </w:p>
    <w:p>
      <w:pPr>
        <w:jc w:val="left"/>
      </w:pPr>
      <w:r>
        <w:t>Examensstruktur: Prüfung der Grundrechtsverletzung immer nach Schema:</w:t>
      </w:r>
    </w:p>
    <w:p>
      <w:pPr>
        <w:jc w:val="left"/>
      </w:pPr>
      <w:r>
        <w:t>```</w:t>
      </w:r>
    </w:p>
    <w:p>
      <w:pPr>
        <w:jc w:val="left"/>
      </w:pPr>
      <w:r>
        <w:t>I.   Schutzbereich (persönlich und sachlich)</w:t>
      </w:r>
    </w:p>
    <w:p>
      <w:pPr>
        <w:jc w:val="left"/>
      </w:pPr>
      <w:r>
        <w:t>II.  Eingriff (klassisch / moderner Eingriffsbegriff)</w:t>
      </w:r>
    </w:p>
    <w:p>
      <w:pPr>
        <w:jc w:val="left"/>
      </w:pPr>
      <w:r>
        <w:t>III. Verfassungsrechtliche Rechtfertigung</w:t>
      </w:r>
    </w:p>
    <w:p>
      <w:pPr>
        <w:pStyle w:val="ListNumber"/>
      </w:pPr>
      <w:r>
        <w:t>Schranke (Gesetzesvorbehalt oder vorbehaltlos)</w:t>
      </w:r>
    </w:p>
    <w:p>
      <w:pPr>
        <w:pStyle w:val="ListNumber"/>
      </w:pPr>
      <w:r>
        <w:t>Schranken-Schranke</w:t>
      </w:r>
    </w:p>
    <w:p>
      <w:pPr>
        <w:jc w:val="left"/>
      </w:pPr>
      <w:r>
        <w:t>a) Formelle Verfassungsmäßigkeit des Gesetzes</w:t>
      </w:r>
    </w:p>
    <w:p>
      <w:pPr>
        <w:jc w:val="left"/>
      </w:pPr>
      <w:r>
        <w:t>b) Materielle Verfassungsmäßigkeit</w:t>
      </w:r>
    </w:p>
    <w:p>
      <w:pPr>
        <w:pStyle w:val="ListBullet"/>
      </w:pPr>
      <w:r>
        <w:t>Verhältnismäßigkeit: Legitimer Zweck, Geeignetheit,</w:t>
      </w:r>
    </w:p>
    <w:p>
      <w:pPr>
        <w:jc w:val="left"/>
      </w:pPr>
      <w:r>
        <w:t>Erforderlichkeit, Angemessenheit (Verhältnismäßigkeit i.e.S.)</w:t>
      </w:r>
    </w:p>
    <w:p>
      <w:pPr>
        <w:pStyle w:val="ListBullet"/>
      </w:pPr>
      <w:r>
        <w:t>Wesensgehaltsgarantie, Art. 19 Abs. 2 GG</w:t>
      </w:r>
    </w:p>
    <w:p>
      <w:pPr>
        <w:jc w:val="left"/>
      </w:pPr>
      <w:r>
        <w:t>```</w:t>
      </w:r>
    </w:p>
    <w:p>
      <w:pPr>
        <w:jc w:val="left"/>
      </w:pPr>
      <w:r>
        <w:t>Examensrelevante Grundrechte in NRW-Klausuren:</w:t>
      </w:r>
    </w:p>
    <w:p>
      <w:pPr>
        <w:pStyle w:val="ListBullet"/>
      </w:pPr>
      <w:r>
        <w:t>Art. 2 Abs. 1 GG: allgemeine Handlungsfreiheit (Auffanggrundrecht)</w:t>
      </w:r>
    </w:p>
    <w:p>
      <w:pPr>
        <w:pStyle w:val="ListBullet"/>
      </w:pPr>
      <w:r>
        <w:t>Art. 2 Abs. 2 GG: körperliche Unversehrtheit (Impfpflicht-Entscheidungen, BVerfG)</w:t>
      </w:r>
    </w:p>
    <w:p>
      <w:pPr>
        <w:pStyle w:val="ListBullet"/>
      </w:pPr>
      <w:r>
        <w:t>Art. 3 Abs. 1 GG: allgemeiner Gleichheitssatz; Willkürformel und neue Formel</w:t>
      </w:r>
    </w:p>
    <w:p>
      <w:pPr>
        <w:pStyle w:val="ListBullet"/>
      </w:pPr>
      <w:r>
        <w:t>Art. 5 GG: Meinungsfreiheit, Pressefreiheit, Rundfunkfreiheit; Sonderregelungen § 5 Abs. 2 GG</w:t>
      </w:r>
    </w:p>
    <w:p>
      <w:pPr>
        <w:pStyle w:val="ListBullet"/>
      </w:pPr>
      <w:r>
        <w:t>Art. 12 GG: Berufsfreiheit (3-Stufen-Theorie des BVerfG: Ausübungsregelung, subjektive/objektive Zulassungsvoraussetzung)</w:t>
      </w:r>
    </w:p>
    <w:p>
      <w:pPr>
        <w:pStyle w:val="ListBullet"/>
      </w:pPr>
      <w:r>
        <w:t>Art. 14 GG: Eigentumsgarantie; Inhalt-/Schrankenbestimmung vs. Enteignung</w:t>
      </w:r>
    </w:p>
    <w:p>
      <w:pPr>
        <w:pStyle w:val="ListBullet"/>
      </w:pPr>
      <w:r>
        <w:t>Art. 8 GG: Versammlungsfreiheit</w:t>
      </w:r>
    </w:p>
    <w:p>
      <w:pPr>
        <w:pStyle w:val="Heading3"/>
      </w:pPr>
      <w:r>
        <w:rPr>
          <w:rFonts w:ascii="Times New Roman" w:hAnsi="Times New Roman"/>
        </w:rPr>
        <w:t>Staatorganisationsrecht</w:t>
      </w:r>
    </w:p>
    <w:p>
      <w:pPr>
        <w:pStyle w:val="ListBullet"/>
      </w:pPr>
      <w:r>
        <w:t>Bundestag, Bundesrat, Bundesregierung: Gesetzgebungsverfahren (Art. 76–78 GG)</w:t>
      </w:r>
    </w:p>
    <w:p>
      <w:pPr>
        <w:pStyle w:val="ListBullet"/>
      </w:pPr>
      <w:r>
        <w:t>Gesetzgebungskompetenzen: Art. 70 ff. GG; ausschließliche, konkurrierende Gesetzgebung</w:t>
      </w:r>
    </w:p>
    <w:p>
      <w:pPr>
        <w:pStyle w:val="ListBullet"/>
      </w:pPr>
      <w:r>
        <w:t>Normenkontrolle: abstrakte (Art. 93 Abs. 1 Nr. 2 GG), konkrete (Art. 100 GG)</w:t>
      </w:r>
    </w:p>
    <w:p>
      <w:pPr>
        <w:pStyle w:val="ListBullet"/>
      </w:pPr>
      <w:r>
        <w:t>Verfassungsbeschwerde: Art. 93 Abs. 1 Nr. 4a GG; Zulässigkeit (Beschwerdefähigkeit, -befugnis, Rechtswegerschöpfung, Subsidiarität)</w:t>
      </w:r>
    </w:p>
    <w:p/>
    <w:p>
      <w:pPr>
        <w:pStyle w:val="Heading2"/>
      </w:pPr>
      <w:r>
        <w:rPr>
          <w:rFonts w:ascii="Times New Roman" w:hAnsi="Times New Roman"/>
        </w:rPr>
        <w:t>Verwaltungsrecht</w:t>
      </w:r>
    </w:p>
    <w:p>
      <w:pPr>
        <w:pStyle w:val="Heading3"/>
      </w:pPr>
      <w:r>
        <w:rPr>
          <w:rFonts w:ascii="Times New Roman" w:hAnsi="Times New Roman"/>
        </w:rPr>
        <w:t>Allgemeines Verwaltungsrecht</w:t>
      </w:r>
    </w:p>
    <w:p>
      <w:pPr>
        <w:jc w:val="left"/>
      </w:pPr>
      <w:r>
        <w:rPr>
          <w:b/>
        </w:rPr>
        <w:t>Verwaltungsakt (VA), § 35 VwVfG:</w:t>
      </w:r>
    </w:p>
    <w:p>
      <w:pPr>
        <w:jc w:val="left"/>
      </w:pPr>
      <w:r>
        <w:t>```</w:t>
      </w:r>
    </w:p>
    <w:p>
      <w:pPr>
        <w:jc w:val="left"/>
      </w:pPr>
      <w:r>
        <w:t>Definition: Hoheitliche Maßnahme einer Behörde auf dem Gebiet des öff. Rechts</w:t>
      </w:r>
    </w:p>
    <w:p>
      <w:pPr>
        <w:jc w:val="left"/>
      </w:pPr>
      <w:r>
        <w:t>zur Regelung eines Einzelfalls mit Außenwirkung.</w:t>
      </w:r>
    </w:p>
    <w:p>
      <w:pPr>
        <w:jc w:val="left"/>
      </w:pPr>
      <w:r>
        <w:t>Prüfungsaufbau Rechtmäßigkeit des VA:</w:t>
      </w:r>
    </w:p>
    <w:p>
      <w:pPr>
        <w:jc w:val="left"/>
      </w:pPr>
      <w:r>
        <w:t>I.  Ermächtigungsgrundlage</w:t>
      </w:r>
    </w:p>
    <w:p>
      <w:pPr>
        <w:jc w:val="left"/>
      </w:pPr>
      <w:r>
        <w:t>II. Formelle Rechtmäßigkeit</w:t>
      </w:r>
    </w:p>
    <w:p>
      <w:pPr>
        <w:pStyle w:val="ListNumber"/>
      </w:pPr>
      <w:r>
        <w:t>Zuständigkeit (sachlich, örtlich, instanziell)</w:t>
      </w:r>
    </w:p>
    <w:p>
      <w:pPr>
        <w:pStyle w:val="ListNumber"/>
      </w:pPr>
      <w:r>
        <w:t>Verfahren (§§ 9 ff. VwVfG; Anhörung § 28 VwVfG)</w:t>
      </w:r>
    </w:p>
    <w:p>
      <w:pPr>
        <w:pStyle w:val="ListNumber"/>
      </w:pPr>
      <w:r>
        <w:t>Form (§ 37 VwVfG; Schriftformgebot)</w:t>
      </w:r>
    </w:p>
    <w:p>
      <w:pPr>
        <w:jc w:val="left"/>
      </w:pPr>
      <w:r>
        <w:t>III. Materielle Rechtmäßigkeit</w:t>
      </w:r>
    </w:p>
    <w:p>
      <w:pPr>
        <w:pStyle w:val="ListNumber"/>
      </w:pPr>
      <w:r>
        <w:t>Tatbestandsvoraussetzungen</w:t>
      </w:r>
    </w:p>
    <w:p>
      <w:pPr>
        <w:pStyle w:val="ListNumber"/>
      </w:pPr>
      <w:r>
        <w:t>Rechtsfolge (gebundene Entscheidung vs. Ermessen, §§ 40, 114 VwGO)</w:t>
      </w:r>
    </w:p>
    <w:p>
      <w:pPr>
        <w:pStyle w:val="ListNumber"/>
      </w:pPr>
      <w:r>
        <w:t>Verhältnismäßigkeit</w:t>
      </w:r>
    </w:p>
    <w:p>
      <w:pPr>
        <w:jc w:val="left"/>
      </w:pPr>
      <w:r>
        <w:t>IV.  Rechtsfolge bei Rechtswidrigkeit: Aufhebbarkeit (§ 48, § 49 VwVfG)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Ermessen und unbestimmte Rechtsbegriffe:</w:t>
      </w:r>
    </w:p>
    <w:p>
      <w:pPr>
        <w:pStyle w:val="ListBullet"/>
      </w:pPr>
      <w:r>
        <w:t>Ermessensfehlerlehre: Ermessensnichtgebrauch, -überschreitung, -fehlgebrauch</w:t>
      </w:r>
    </w:p>
    <w:p>
      <w:pPr>
        <w:pStyle w:val="ListBullet"/>
      </w:pPr>
      <w:r>
        <w:t>Beurteilungsspielraum: Prüfungsentscheidungen, Beamtenrecht</w:t>
      </w:r>
    </w:p>
    <w:p>
      <w:pPr>
        <w:jc w:val="left"/>
      </w:pPr>
      <w:r>
        <w:rPr>
          <w:b/>
        </w:rPr>
        <w:t>Rücknahme und Widerruf:</w:t>
      </w:r>
    </w:p>
    <w:p>
      <w:pPr>
        <w:pStyle w:val="ListBullet"/>
      </w:pPr>
      <w:r>
        <w:t>§ 48 VwVfG: Rücknahme rechtswidriger VA; Vertrauensschutz bei begünstigenden VA</w:t>
      </w:r>
    </w:p>
    <w:p>
      <w:pPr>
        <w:pStyle w:val="ListBullet"/>
      </w:pPr>
      <w:r>
        <w:t>§ 49 VwVfG: Widerruf rechtmäßiger VA</w:t>
      </w:r>
    </w:p>
    <w:p>
      <w:pPr>
        <w:pStyle w:val="Heading3"/>
      </w:pPr>
      <w:r>
        <w:rPr>
          <w:rFonts w:ascii="Times New Roman" w:hAnsi="Times New Roman"/>
        </w:rPr>
        <w:t>Verwaltungsprozessrecht (VwGO)</w:t>
      </w:r>
    </w:p>
    <w:p>
      <w:pPr>
        <w:jc w:val="left"/>
      </w:pPr>
      <w:r>
        <w:t>Klausuraufbau Verwaltungsgericht:</w:t>
      </w:r>
    </w:p>
    <w:p>
      <w:pPr>
        <w:jc w:val="left"/>
      </w:pPr>
      <w:r>
        <w:t>```</w:t>
      </w:r>
    </w:p>
    <w:p>
      <w:pPr>
        <w:jc w:val="left"/>
      </w:pPr>
      <w:r>
        <w:t>A. Zulässigkeit der Klage</w:t>
      </w:r>
    </w:p>
    <w:p>
      <w:pPr>
        <w:jc w:val="left"/>
      </w:pPr>
      <w:r>
        <w:t>I.   Eröffnung des Verwaltungsrechtswegs (§ 40 VwGO)</w:t>
      </w:r>
    </w:p>
    <w:p>
      <w:pPr>
        <w:jc w:val="left"/>
      </w:pPr>
      <w:r>
        <w:t>II.  Statthafte Klageart</w:t>
      </w:r>
    </w:p>
    <w:p>
      <w:pPr>
        <w:pStyle w:val="ListBullet"/>
      </w:pPr>
      <w:r>
        <w:t>Anfechtungsklage (§ 42 Abs. 1 Var. 1 VwGO): Aufhebung VA</w:t>
      </w:r>
    </w:p>
    <w:p>
      <w:pPr>
        <w:pStyle w:val="ListBullet"/>
      </w:pPr>
      <w:r>
        <w:t>Verpflichtungsklage (§ 42 Abs. 1 Var. 2 VwGO): Erlass VA</w:t>
      </w:r>
    </w:p>
    <w:p>
      <w:pPr>
        <w:pStyle w:val="ListBullet"/>
      </w:pPr>
      <w:r>
        <w:t>Allgemeine Leistungsklage (Realakt)</w:t>
      </w:r>
    </w:p>
    <w:p>
      <w:pPr>
        <w:pStyle w:val="ListBullet"/>
      </w:pPr>
      <w:r>
        <w:t>Feststellungsklage (§ 43 VwGO)</w:t>
      </w:r>
    </w:p>
    <w:p>
      <w:pPr>
        <w:jc w:val="left"/>
      </w:pPr>
      <w:r>
        <w:t>III. Klagebefugnis (§ 42 Abs. 2 VwGO): Mögliche Rechtsverletzung</w:t>
      </w:r>
    </w:p>
    <w:p>
      <w:pPr>
        <w:jc w:val="left"/>
      </w:pPr>
      <w:r>
        <w:t>IV.  Vorverfahren (Widerspruch, §§ 68 ff. VwGO)</w:t>
      </w:r>
    </w:p>
    <w:p>
      <w:pPr>
        <w:jc w:val="left"/>
      </w:pPr>
      <w:r>
        <w:t>V.   Klagefrist (§ 74 VwGO: 1 Monat)</w:t>
      </w:r>
    </w:p>
    <w:p>
      <w:pPr>
        <w:jc w:val="left"/>
      </w:pPr>
      <w:r>
        <w:t>VI.  Beteiligten- und Prozessfähigkeit</w:t>
      </w:r>
    </w:p>
    <w:p>
      <w:pPr>
        <w:jc w:val="left"/>
      </w:pPr>
      <w:r>
        <w:t>VII. Zuständigkeit (örtlich, sachlich)</w:t>
      </w:r>
    </w:p>
    <w:p>
      <w:pPr>
        <w:jc w:val="left"/>
      </w:pPr>
      <w:r>
        <w:t>B. Begründetheit der Klage</w:t>
      </w:r>
    </w:p>
    <w:p>
      <w:pPr>
        <w:jc w:val="left"/>
      </w:pPr>
      <w:r>
        <w:t>I.   Anfechtungsklage: VA rechtswidrig und Kläger in Rechten verletzt</w:t>
      </w:r>
    </w:p>
    <w:p>
      <w:pPr>
        <w:jc w:val="left"/>
      </w:pPr>
      <w:r>
        <w:t>II.  Verpflichtungsklage: Ablehnung/Unterlassen rechtswidrig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Einstweiliger Rechtsschutz:</w:t>
      </w:r>
    </w:p>
    <w:p>
      <w:pPr>
        <w:pStyle w:val="ListBullet"/>
      </w:pPr>
      <w:r>
        <w:t>§ 80 Abs. 1 VwGO: aufschiebende Wirkung als Regelfall</w:t>
      </w:r>
    </w:p>
    <w:p>
      <w:pPr>
        <w:pStyle w:val="ListBullet"/>
      </w:pPr>
      <w:r>
        <w:t>§ 80 Abs. 2 VwGO: Ausnahmen (sofortige Vollziehbarkeit)</w:t>
      </w:r>
    </w:p>
    <w:p>
      <w:pPr>
        <w:pStyle w:val="ListBullet"/>
      </w:pPr>
      <w:r>
        <w:t>§ 80 Abs. 5 VwGO: Antrag auf Wiederherstellung/Anordnung aufschiebender Wirkung</w:t>
      </w:r>
    </w:p>
    <w:p>
      <w:pPr>
        <w:pStyle w:val="Heading3"/>
      </w:pPr>
      <w:r>
        <w:rPr>
          <w:rFonts w:ascii="Times New Roman" w:hAnsi="Times New Roman"/>
        </w:rPr>
        <w:t>Polizei- und Ordnungsrecht (NRW: PolG NRW)</w:t>
      </w:r>
    </w:p>
    <w:p>
      <w:pPr>
        <w:pStyle w:val="ListBullet"/>
      </w:pPr>
      <w:r>
        <w:t>Standardmaßnahmen vs. Generalklausel</w:t>
      </w:r>
    </w:p>
    <w:p>
      <w:pPr>
        <w:pStyle w:val="ListBullet"/>
      </w:pPr>
      <w:r>
        <w:t>Verantwortlichkeit: Verhaltensstörer, Zustandsstörer, Nichtstörer</w:t>
      </w:r>
    </w:p>
    <w:p>
      <w:pPr>
        <w:pStyle w:val="ListBullet"/>
      </w:pPr>
      <w:r>
        <w:t>Verhältnismäßigkeitsprinzip bei Polizeimaßnahmen</w:t>
      </w:r>
    </w:p>
    <w:p/>
    <w:p>
      <w:pPr>
        <w:pStyle w:val="Heading2"/>
      </w:pPr>
      <w:r>
        <w:rPr>
          <w:rFonts w:ascii="Times New Roman" w:hAnsi="Times New Roman"/>
        </w:rPr>
        <w:t>Lernplan ÖR (Annika, Oktober 2025 – Juni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Monat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Fokus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Oktober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GG Grundrechte AT (Eingriff, Rechtfertigung)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November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Einzelne Grundrechte Art. 2, 3, 12, 14 GG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Dezember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Verwaltungsrecht AT: VA, Ermessen, Rücknahme/Widerruf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Januar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VwGO: Zulässigkeit, Statthafte Klageart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Februar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Polizeirecht NRW, Besonderes Verwaltungsrecht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März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ÖR-Übungsklausuren (mind. 4 Stück)</w:t>
            </w:r>
          </w:p>
        </w:tc>
      </w:tr>
    </w:tbl>
    <w:p>
      <w:pPr>
        <w:jc w:val="left"/>
      </w:pPr>
      <w:r>
        <w:rPr>
          <w:b/>
        </w:rPr>
        <w:t>Schwerpunkt Annika:</w:t>
      </w:r>
      <w:r>
        <w:t xml:space="preserve"> Verhältnismäßigkeit in der ÖR-Klausur — tendiert zu mechanischer Drei-Schritt-Abhandlung ohne fallbezogene Argumentation.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GG Art. 1–19 bei dejure.org</w:t>
      </w:r>
    </w:p>
    <w:p>
      <w:pPr>
        <w:pStyle w:val="ListBullet"/>
      </w:pPr>
      <w:r>
        <w:t>VwGO bei dejure.org</w:t>
      </w:r>
    </w:p>
    <w:p>
      <w:pPr>
        <w:pStyle w:val="ListBullet"/>
      </w:pPr>
      <w:r>
        <w:t>VwVfG §§ 35–49 bei dejure.org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