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05 — Wahlfach Internationales Privatrecht (IPR): Schwerpunkt Prof. Dr. Witzleben</w:t>
      </w:r>
    </w:p>
    <w:p>
      <w:pPr>
        <w:jc w:val="left"/>
      </w:pPr>
      <w:r>
        <w:rPr>
          <w:b/>
        </w:rPr>
        <w:t>Kontext:</w:t>
      </w:r>
      <w:r>
        <w:t xml:space="preserve"> Examensbegleitung Roosendaal-Tinnefeld, Schwerpunktbereich B (IPR), Bonn</w:t>
      </w:r>
    </w:p>
    <w:p/>
    <w:p>
      <w:pPr>
        <w:pStyle w:val="Heading2"/>
      </w:pPr>
      <w:r>
        <w:rPr>
          <w:rFonts w:ascii="Times New Roman" w:hAnsi="Times New Roman"/>
        </w:rPr>
        <w:t>Systematik des Internationalen Privatrechts</w:t>
      </w:r>
    </w:p>
    <w:p>
      <w:pPr>
        <w:jc w:val="left"/>
      </w:pPr>
      <w:r>
        <w:t>Das IPR regelt, welches staatliche Sachrecht bei Sachverhalten mit Auslandsbezug anwendbar ist. Es ist Kollisionsrecht, kein Sachrecht. Im 1. Staatsexamen NRW ist IPR Wahlfach im Schwerpunktbereich; im schriftlichen Teil können IPR-Fragen in der BGB-Klausur auftauchen (Vertragsstatut).</w:t>
      </w:r>
    </w:p>
    <w:p>
      <w:pPr>
        <w:pStyle w:val="Heading3"/>
      </w:pPr>
      <w:r>
        <w:rPr>
          <w:rFonts w:ascii="Times New Roman" w:hAnsi="Times New Roman"/>
        </w:rPr>
        <w:t>Grundbegriffe</w:t>
      </w:r>
    </w:p>
    <w:p>
      <w:pPr>
        <w:pStyle w:val="ListBullet"/>
      </w:pPr>
      <w:r>
        <w:rPr>
          <w:b/>
        </w:rPr>
        <w:t>Anknüpfung:</w:t>
      </w:r>
      <w:r>
        <w:t xml:space="preserve"> Verbindung zwischen Lebenssachverhalt und Rechtsordnung (z.B. Staatsangehörigkeit, gewöhnlicher Aufenthalt, Ort der Niederlassung)</w:t>
      </w:r>
    </w:p>
    <w:p>
      <w:pPr>
        <w:pStyle w:val="ListBullet"/>
      </w:pPr>
      <w:r>
        <w:rPr>
          <w:b/>
        </w:rPr>
        <w:t>Kollisionsnorm:</w:t>
      </w:r>
      <w:r>
        <w:t xml:space="preserve"> bestimmt das anwendbare Recht (Verweisungsnorm)</w:t>
      </w:r>
    </w:p>
    <w:p>
      <w:pPr>
        <w:pStyle w:val="ListBullet"/>
      </w:pPr>
      <w:r>
        <w:rPr>
          <w:b/>
        </w:rPr>
        <w:t>Statut:</w:t>
      </w:r>
      <w:r>
        <w:t xml:space="preserve"> die durch die Kollisionsnorm berufene Sachrechtsordnung</w:t>
      </w:r>
    </w:p>
    <w:p>
      <w:pPr>
        <w:pStyle w:val="ListBullet"/>
      </w:pPr>
      <w:r>
        <w:rPr>
          <w:b/>
        </w:rPr>
        <w:t>Qualifikation:</w:t>
      </w:r>
      <w:r>
        <w:t xml:space="preserve"> Einordnung des Sachverhalts in eine Kollisionskategorie (nach lex fori)</w:t>
      </w:r>
    </w:p>
    <w:p>
      <w:pPr>
        <w:pStyle w:val="ListBullet"/>
      </w:pPr>
      <w:r>
        <w:rPr>
          <w:b/>
        </w:rPr>
        <w:t>Renvoi (Rück- und Weiterverweisung):</w:t>
      </w:r>
      <w:r>
        <w:t xml:space="preserve"> Art. 4 EGBGB, aber ausgeschlossen in Rom-I-VO (Art. 20) und Rom-II-VO (Art. 24)</w:t>
      </w:r>
    </w:p>
    <w:p/>
    <w:p>
      <w:pPr>
        <w:pStyle w:val="Heading2"/>
      </w:pPr>
      <w:r>
        <w:rPr>
          <w:rFonts w:ascii="Times New Roman" w:hAnsi="Times New Roman"/>
        </w:rPr>
        <w:t>EGBGB — Einführungsgesetz zum BGB</w:t>
      </w:r>
    </w:p>
    <w:p>
      <w:pPr>
        <w:jc w:val="left"/>
      </w:pPr>
      <w:r>
        <w:t>Anknüpfungsregeln für nicht europarechtlich geregeltes IPR, dejure.org/gesetze/EGBGB: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Norm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Sachbereich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Art. 3 EGBGB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Verhältnis EU-Verordnungen / EGBGB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Art. 4 EGBGB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Rück- und Weiterverweisung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Art. 5 EGBGB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Staatsangehörigkeit (Personalstatut)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Art. 6 EGBGB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Ordre public — Vorbehalt gegen ausländisches Recht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Art. 10 EGBGB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Namensrecht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Art. 13 EGBGB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Eheschließung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Art. 14 EGBGB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Allgemeine Ehewirkungen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Art. 15 EGBGB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Eheliches Güterrecht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Art. 17 EGBGB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Scheidung (weitgehend verdrängt durch Rom III-VO)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Art. 19 EGBGB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Kindschaftsrecht — Abstammung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Art. 21 EGBGB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Elterliche Verantwortung (verdrängt durch HKÜ, EuEheVO)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Art. 25 EGBGB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Erbstatut (verdrängt durch EuErbVO)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Art. 38–42 EGBGB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Außervertragliche Schuldverhältnisse (weitgehend Rom-II-VO)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Rom-I-Verordnung (VO (EG) Nr. 593/2008) — Vertragliche Schuldverhältnisse</w:t>
      </w:r>
    </w:p>
    <w:p>
      <w:pPr>
        <w:jc w:val="left"/>
      </w:pPr>
      <w:r>
        <w:t>Gilt für vertragliche Schuldverhältnisse in Zivil- und Handelssachen mit Auslandsbezug (ab 17.12.2009 geschlossene Verträge):</w:t>
      </w:r>
    </w:p>
    <w:p>
      <w:pPr>
        <w:pStyle w:val="Heading3"/>
      </w:pPr>
      <w:r>
        <w:rPr>
          <w:rFonts w:ascii="Times New Roman" w:hAnsi="Times New Roman"/>
        </w:rPr>
        <w:t>Grundprinzip: Rechtswahl (Art. 3 Rom-I-VO)</w:t>
      </w:r>
    </w:p>
    <w:p>
      <w:pPr>
        <w:pStyle w:val="ListBullet"/>
      </w:pPr>
      <w:r>
        <w:t>Freie Rechtswahl durch Parteien</w:t>
      </w:r>
    </w:p>
    <w:p>
      <w:pPr>
        <w:pStyle w:val="ListBullet"/>
      </w:pPr>
      <w:r>
        <w:t>Ausdrücklich oder hinreichend eindeutig aus Vertragsbedingungen/Umständen</w:t>
      </w:r>
    </w:p>
    <w:p>
      <w:pPr>
        <w:pStyle w:val="ListBullet"/>
      </w:pPr>
      <w:r>
        <w:t>Grenzen: Art. 3 Abs. 3 (reiner Binnensachverhalt), Art. 9 (Eingriffsnormen), Art. 21 (ordre public)</w:t>
      </w:r>
    </w:p>
    <w:p>
      <w:pPr>
        <w:pStyle w:val="Heading3"/>
      </w:pPr>
      <w:r>
        <w:rPr>
          <w:rFonts w:ascii="Times New Roman" w:hAnsi="Times New Roman"/>
        </w:rPr>
        <w:t>Hilfsanknüpfungen ohne Rechtswahl (Art. 4 Rom-I-VO)</w:t>
      </w:r>
    </w:p>
    <w:p>
      <w:pPr>
        <w:pStyle w:val="ListBullet"/>
      </w:pPr>
      <w:r>
        <w:t>Kaufvertrag: Recht des Verkäufers (Art. 4 Abs. 1 lit. a)</w:t>
      </w:r>
    </w:p>
    <w:p>
      <w:pPr>
        <w:pStyle w:val="ListBullet"/>
      </w:pPr>
      <w:r>
        <w:t>Dienstleistung: Recht des Dienstleisters (Art. 4 Abs. 1 lit. b)</w:t>
      </w:r>
    </w:p>
    <w:p>
      <w:pPr>
        <w:pStyle w:val="ListBullet"/>
      </w:pPr>
      <w:r>
        <w:t>Immobiliarsachenrecht: Belegenheitsrecht (Art. 4 Abs. 1 lit. c)</w:t>
      </w:r>
    </w:p>
    <w:p>
      <w:pPr>
        <w:pStyle w:val="ListBullet"/>
      </w:pPr>
      <w:r>
        <w:t>Franchise: Franchisenehmers Niederlassung (Art. 4 Abs. 1 lit. e)</w:t>
      </w:r>
    </w:p>
    <w:p>
      <w:pPr>
        <w:pStyle w:val="ListBullet"/>
      </w:pPr>
      <w:r>
        <w:t>Ausweichklausel: engste Verbindung (Art. 4 Abs. 3)</w:t>
      </w:r>
    </w:p>
    <w:p>
      <w:pPr>
        <w:pStyle w:val="Heading3"/>
      </w:pPr>
      <w:r>
        <w:rPr>
          <w:rFonts w:ascii="Times New Roman" w:hAnsi="Times New Roman"/>
        </w:rPr>
        <w:t>Sonderanknüpfungen</w:t>
      </w:r>
    </w:p>
    <w:p>
      <w:pPr>
        <w:pStyle w:val="ListBullet"/>
      </w:pPr>
      <w:r>
        <w:t>Verbraucherverträge: Art. 6 Rom-I-VO (gewöhnlicher Aufenthalt Verbraucher)</w:t>
      </w:r>
    </w:p>
    <w:p>
      <w:pPr>
        <w:pStyle w:val="ListBullet"/>
      </w:pPr>
      <w:r>
        <w:t>Individualarbeitsverträge: Art. 8 Rom-I-VO</w:t>
      </w:r>
    </w:p>
    <w:p>
      <w:pPr>
        <w:pStyle w:val="ListBullet"/>
      </w:pPr>
      <w:r>
        <w:t>Versicherungsverträge: Art. 7 Rom-I-VO</w:t>
      </w:r>
    </w:p>
    <w:p>
      <w:pPr>
        <w:pStyle w:val="ListBullet"/>
      </w:pPr>
      <w:r>
        <w:t>Eingriffsnormen, Art. 9 Rom-I-VO: zwingend anzuwendende Bestimmungen (Begriff eng: BGH und EuGH)</w:t>
      </w:r>
    </w:p>
    <w:p/>
    <w:p>
      <w:pPr>
        <w:pStyle w:val="Heading2"/>
      </w:pPr>
      <w:r>
        <w:rPr>
          <w:rFonts w:ascii="Times New Roman" w:hAnsi="Times New Roman"/>
        </w:rPr>
        <w:t>Rom-II-Verordnung (VO (EG) Nr. 864/2007) — Außervertragliche Schuldverhältnisse</w:t>
      </w:r>
    </w:p>
    <w:p>
      <w:pPr>
        <w:pStyle w:val="Heading3"/>
      </w:pPr>
      <w:r>
        <w:rPr>
          <w:rFonts w:ascii="Times New Roman" w:hAnsi="Times New Roman"/>
        </w:rPr>
        <w:t>Grundregel (Art. 4 Rom-II-VO)</w:t>
      </w:r>
    </w:p>
    <w:p>
      <w:pPr>
        <w:pStyle w:val="ListBullet"/>
      </w:pPr>
      <w:r>
        <w:t>Schadensort (lex loci damni) als primäre Anknüpfung</w:t>
      </w:r>
    </w:p>
    <w:p>
      <w:pPr>
        <w:pStyle w:val="ListBullet"/>
      </w:pPr>
      <w:r>
        <w:t>Ausnahme: gemeinsamer gewöhnlicher Aufenthalt (Art. 4 Abs. 2)</w:t>
      </w:r>
    </w:p>
    <w:p>
      <w:pPr>
        <w:pStyle w:val="ListBullet"/>
      </w:pPr>
      <w:r>
        <w:t>Ausweichklausel: engste Verbindung (Art. 4 Abs. 3)</w:t>
      </w:r>
    </w:p>
    <w:p>
      <w:pPr>
        <w:pStyle w:val="Heading3"/>
      </w:pPr>
      <w:r>
        <w:rPr>
          <w:rFonts w:ascii="Times New Roman" w:hAnsi="Times New Roman"/>
        </w:rPr>
        <w:t>Sonderregeln</w:t>
      </w:r>
    </w:p>
    <w:p>
      <w:pPr>
        <w:pStyle w:val="ListBullet"/>
      </w:pPr>
      <w:r>
        <w:t>Produkthaftung: Art. 5 Rom-II-VO</w:t>
      </w:r>
    </w:p>
    <w:p>
      <w:pPr>
        <w:pStyle w:val="ListBullet"/>
      </w:pPr>
      <w:r>
        <w:t>Unlauterer Wettbewerb: Art. 6 Rom-II-VO (Marktortprinzip)</w:t>
      </w:r>
    </w:p>
    <w:p>
      <w:pPr>
        <w:pStyle w:val="ListBullet"/>
      </w:pPr>
      <w:r>
        <w:t>Umweltschäden: Art. 7 Rom-II-VO (Wahlrecht Geschädigter)</w:t>
      </w:r>
    </w:p>
    <w:p>
      <w:pPr>
        <w:pStyle w:val="ListBullet"/>
      </w:pPr>
      <w:r>
        <w:t>Immaterialgüterrechte (IP): Art. 8 Rom-II-VO (Schutzlandprinzip)</w:t>
      </w:r>
    </w:p>
    <w:p>
      <w:pPr>
        <w:pStyle w:val="ListBullet"/>
      </w:pPr>
      <w:r>
        <w:t>Ungerechtfertigte Bereicherung: Art. 10 Rom-II-VO</w:t>
      </w:r>
    </w:p>
    <w:p>
      <w:pPr>
        <w:pStyle w:val="ListBullet"/>
      </w:pPr>
      <w:r>
        <w:t>Geschäftsführung ohne Auftrag: Art. 11 Rom-II-VO</w:t>
      </w:r>
    </w:p>
    <w:p>
      <w:pPr>
        <w:pStyle w:val="ListBullet"/>
      </w:pPr>
      <w:r>
        <w:t>culpa in contrahendo: Art. 12 Rom-II-VO</w:t>
      </w:r>
    </w:p>
    <w:p/>
    <w:p>
      <w:pPr>
        <w:pStyle w:val="Heading2"/>
      </w:pPr>
      <w:r>
        <w:rPr>
          <w:rFonts w:ascii="Times New Roman" w:hAnsi="Times New Roman"/>
        </w:rPr>
        <w:t>Qualifizierter Statutenwechsel</w:t>
      </w:r>
    </w:p>
    <w:p>
      <w:pPr>
        <w:jc w:val="left"/>
      </w:pPr>
      <w:r>
        <w:t>Der qualifizierte (oder relevante) Statutenwechsel (Wechsel des anwendbaren Rechts während der Vertragserfüllung) ist Kernthema von Annikas IPR-Hausarbeit. Examensrelevant bei:</w:t>
      </w:r>
    </w:p>
    <w:p>
      <w:pPr>
        <w:pStyle w:val="ListBullet"/>
      </w:pPr>
      <w:r>
        <w:t>Wechsel des gewöhnlichen Aufenthalts des Verbrauchers nach Vertragsschluss (Art. 6 Rom-I-VO)</w:t>
      </w:r>
    </w:p>
    <w:p>
      <w:pPr>
        <w:pStyle w:val="ListBullet"/>
      </w:pPr>
      <w:r>
        <w:t>Änderung der Rechtswahl nach Art. 3 Abs. 2 Rom-I-VO (nachträgliche Rechtswahl)</w:t>
      </w:r>
    </w:p>
    <w:p>
      <w:pPr>
        <w:pStyle w:val="ListBullet"/>
      </w:pPr>
      <w:r>
        <w:t>Problematik: Wohlerworbene Rechte Dritter bleiben unberührt (Art. 3 Abs. 2 S. 2 Rom-I-VO)</w:t>
      </w:r>
    </w:p>
    <w:p>
      <w:pPr>
        <w:pStyle w:val="ListBullet"/>
      </w:pPr>
      <w:r>
        <w:t>Im Sachenrecht: Art. 43 EGBGB (Neubelegenheit beweglicher Sachen)</w:t>
      </w:r>
    </w:p>
    <w:p/>
    <w:p>
      <w:pPr>
        <w:pStyle w:val="Heading2"/>
      </w:pPr>
      <w:r>
        <w:rPr>
          <w:rFonts w:ascii="Times New Roman" w:hAnsi="Times New Roman"/>
        </w:rPr>
        <w:t>Ordre Public (Art. 6 EGBGB / Art. 21 Rom-I-VO / Art. 26 Rom-II-VO)</w:t>
      </w:r>
    </w:p>
    <w:p>
      <w:pPr>
        <w:jc w:val="left"/>
      </w:pPr>
      <w:r>
        <w:t>Auslandsrecht wird nicht angewandt, wenn dies zu einem Ergebnis führt, das mit wesentlichen Grundsätzen des deutschen Rechts offensichtlich unvereinbar ist. Enger Ausnahmevorbehalt: Stets nur ultima ratio. Grundrechte als Maßstab (BVerfG, BGH).</w:t>
      </w:r>
    </w:p>
    <w:p/>
    <w:p>
      <w:pPr>
        <w:pStyle w:val="Heading2"/>
      </w:pPr>
      <w:r>
        <w:rPr>
          <w:rFonts w:ascii="Times New Roman" w:hAnsi="Times New Roman"/>
        </w:rPr>
        <w:t>Lernhinweise Annika</w:t>
      </w:r>
    </w:p>
    <w:p>
      <w:pPr>
        <w:pStyle w:val="ListBullet"/>
      </w:pPr>
      <w:r>
        <w:t>IPR-Klausur im Schwerpunktbereich beginnt immer mit der Frage nach dem anwendbaren Recht — auch wenn Sachrecht NRW klar erscheint.</w:t>
      </w:r>
    </w:p>
    <w:p>
      <w:pPr>
        <w:pStyle w:val="ListBullet"/>
      </w:pPr>
      <w:r>
        <w:t>Rom-I-VO Art. 3 und Art. 4 müssen auswendig beherrscht werden (keine Kommentare im Schwerpunktbereich!).</w:t>
      </w:r>
    </w:p>
    <w:p>
      <w:pPr>
        <w:pStyle w:val="ListBullet"/>
      </w:pPr>
      <w:r>
        <w:t>Strukturierte Subsumtion: erst Anwendungsbereich der Verordnung prüfen, dann Rechtswahl, dann Hilfsanknüpfung.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EGBGB bei dejure.org</w:t>
      </w:r>
    </w:p>
    <w:p>
      <w:pPr>
        <w:pStyle w:val="ListBullet"/>
      </w:pPr>
      <w:r>
        <w:t>Rom-I-VO (VO (EG) Nr. 593/2008), EUR-Lex</w:t>
      </w:r>
    </w:p>
    <w:p>
      <w:pPr>
        <w:pStyle w:val="ListBullet"/>
      </w:pPr>
      <w:r>
        <w:t>Rom-II-VO (VO (EG) Nr. 864/2007), EUR-Lex</w:t>
      </w:r>
    </w:p>
    <w:p>
      <w:pPr>
        <w:pStyle w:val="ListBullet"/>
      </w:pPr>
      <w:r>
        <w:t>BGH Urteil 26.10.1993 — XI ZR 42/93 (Eingriffsnormen)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