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Klausurentraining: Aufbau und Subsumtionstechnik</w:t>
      </w:r>
    </w:p>
    <w:p>
      <w:pPr>
        <w:jc w:val="left"/>
      </w:pPr>
      <w:r>
        <w:rPr>
          <w:b/>
        </w:rPr>
        <w:t>Kontext:</w:t>
      </w:r>
      <w:r>
        <w:t xml:space="preserve"> Examensbegleitung Roosendaal-Tinnefeld, Bonn; Klausurschwäche im Aufbau und Subsumtion identifiziert in Probeklausuren Oktober–Dezember 2025.</w:t>
      </w:r>
    </w:p>
    <w:p/>
    <w:p>
      <w:pPr>
        <w:pStyle w:val="Heading2"/>
      </w:pPr>
      <w:r>
        <w:rPr>
          <w:rFonts w:ascii="Times New Roman" w:hAnsi="Times New Roman"/>
        </w:rPr>
        <w:t>Grundprinzip: Gutachtenstil</w:t>
      </w:r>
    </w:p>
    <w:p>
      <w:pPr>
        <w:jc w:val="left"/>
      </w:pPr>
      <w:r>
        <w:t>Jede Klausurantwort im Examen wird im Gutachtenstil verfasst. Der Gutachtenstil folgt dem Schema:</w:t>
      </w:r>
    </w:p>
    <w:p>
      <w:pPr>
        <w:jc w:val="left"/>
      </w:pPr>
      <w:r>
        <w:rPr>
          <w:b/>
        </w:rPr>
        <w:t>Obersatz → Voraussetzung → Definition → Subsumtion → Ergebnis</w:t>
      </w:r>
    </w:p>
    <w:p>
      <w:pPr>
        <w:jc w:val="left"/>
      </w:pPr>
      <w:r>
        <w:t>Beispiel (Kaufvertrag, § 433 BGB):</w:t>
      </w:r>
    </w:p>
    <w:p>
      <w:pPr>
        <w:ind w:left="567"/>
      </w:pPr>
      <w:r>
        <w:rPr>
          <w:i/>
        </w:rPr>
        <w:t>Annika könnte gegen Ben einen Anspruch auf Zahlung des Kaufpreises aus § 433 Abs. 2 BGB haben.</w:t>
      </w:r>
    </w:p>
    <w:p>
      <w:pPr>
        <w:ind w:left="567"/>
      </w:pPr>
    </w:p>
    <w:p>
      <w:pPr>
        <w:ind w:left="567"/>
      </w:pPr>
      <w:r>
        <w:rPr>
          <w:i/>
        </w:rPr>
        <w:t>Dies setzt voraus, dass zwischen A und B ein wirksamer Kaufvertrag zustande gekommen ist.</w:t>
      </w:r>
    </w:p>
    <w:p>
      <w:pPr>
        <w:ind w:left="567"/>
      </w:pPr>
    </w:p>
    <w:p>
      <w:pPr>
        <w:ind w:left="567"/>
      </w:pPr>
      <w:r>
        <w:rPr>
          <w:i/>
        </w:rPr>
        <w:t>Ein Kaufvertrag ist ein schuldrechtlicher Vertrag, durch den der Verkäufer verpflichtet wird, dem Käufer die Sache zu übergeben und das Eigentum daran zu verschaffen (§ 433 Abs. 1 S. 1 BGB).</w:t>
      </w:r>
    </w:p>
    <w:p>
      <w:pPr>
        <w:ind w:left="567"/>
      </w:pPr>
    </w:p>
    <w:p>
      <w:pPr>
        <w:ind w:left="567"/>
      </w:pPr>
      <w:r>
        <w:rPr>
          <w:i/>
        </w:rPr>
        <w:t>Hier haben A und B sich geeinigt. A bot den Laptop für 800 EUR an, B nahm an. Beide Willenserklärungen sind inhaltlich deckungsgleich.</w:t>
      </w:r>
    </w:p>
    <w:p>
      <w:pPr>
        <w:ind w:left="567"/>
      </w:pPr>
    </w:p>
    <w:p>
      <w:pPr>
        <w:ind w:left="567"/>
      </w:pPr>
      <w:r>
        <w:rPr>
          <w:i/>
        </w:rPr>
        <w:t>Ein Kaufvertrag ist damit wirksam zustande gekommen.</w:t>
      </w:r>
    </w:p>
    <w:p/>
    <w:p>
      <w:pPr>
        <w:pStyle w:val="Heading2"/>
      </w:pPr>
      <w:r>
        <w:rPr>
          <w:rFonts w:ascii="Times New Roman" w:hAnsi="Times New Roman"/>
        </w:rPr>
        <w:t>Häufige Aufbaufehler — Analyse aus Annikas Probeklausuren</w:t>
      </w:r>
    </w:p>
    <w:p>
      <w:pPr>
        <w:pStyle w:val="Heading3"/>
      </w:pPr>
      <w:r>
        <w:rPr>
          <w:rFonts w:ascii="Times New Roman" w:hAnsi="Times New Roman"/>
        </w:rPr>
        <w:t>Fehler 1: Ergebnissatz als Einstieg (Urteilsstil statt Gutachtenstil)</w:t>
      </w:r>
    </w:p>
    <w:p>
      <w:pPr>
        <w:jc w:val="left"/>
      </w:pPr>
      <w:r>
        <w:rPr>
          <w:b/>
        </w:rPr>
        <w:t>Falsch:</w:t>
      </w:r>
      <w:r>
        <w:t xml:space="preserve"> „A hat einen Anspruch gegen B."</w:t>
      </w:r>
    </w:p>
    <w:p>
      <w:pPr>
        <w:jc w:val="left"/>
      </w:pPr>
      <w:r>
        <w:rPr>
          <w:b/>
        </w:rPr>
        <w:t>Richtig:</w:t>
      </w:r>
      <w:r>
        <w:t xml:space="preserve"> „A könnte gegen B einen Anspruch aus § 433 Abs. 2 BGB haben."</w:t>
      </w:r>
    </w:p>
    <w:p>
      <w:pPr>
        <w:jc w:val="left"/>
      </w:pPr>
      <w:r>
        <w:t>Annikas Fehler aus Oktober 2025: direkter Einstieg im Ergebnis, ohne Prüfungsstruktur aufzuzeigen.</w:t>
      </w:r>
    </w:p>
    <w:p>
      <w:pPr>
        <w:pStyle w:val="Heading3"/>
      </w:pPr>
      <w:r>
        <w:rPr>
          <w:rFonts w:ascii="Times New Roman" w:hAnsi="Times New Roman"/>
        </w:rPr>
        <w:t>Fehler 2: Fehlende Definitionen</w:t>
      </w:r>
    </w:p>
    <w:p>
      <w:pPr>
        <w:jc w:val="left"/>
      </w:pPr>
      <w:r>
        <w:t>Die Definition eines Tatbestandsmerkmals ist keine Formalität — sie zeigt dem Korrekteur, dass die Studentin das Merkmal kennt und anwenden kann. Ohne Definition fehlt die dogmatische Basis.</w:t>
      </w:r>
    </w:p>
    <w:p>
      <w:pPr>
        <w:pStyle w:val="Heading3"/>
      </w:pPr>
      <w:r>
        <w:rPr>
          <w:rFonts w:ascii="Times New Roman" w:hAnsi="Times New Roman"/>
        </w:rPr>
        <w:t>Fehler 3: Subsumtionssprung</w:t>
      </w:r>
    </w:p>
    <w:p>
      <w:pPr>
        <w:jc w:val="left"/>
      </w:pPr>
      <w:r>
        <w:rPr>
          <w:b/>
        </w:rPr>
        <w:t>Falsch:</w:t>
      </w:r>
      <w:r>
        <w:t xml:space="preserve"> „Die Voraussetzungen liegen vor."</w:t>
      </w:r>
    </w:p>
    <w:p>
      <w:pPr>
        <w:jc w:val="left"/>
      </w:pPr>
      <w:r>
        <w:rPr>
          <w:b/>
        </w:rPr>
        <w:t>Richtig:</w:t>
      </w:r>
      <w:r>
        <w:t xml:space="preserve"> Konkreter Lebenssachverhalt wird auf die Definition bezogen. Jede Voraussetzung wird einzeln am konkreten Fall geprüft.</w:t>
      </w:r>
    </w:p>
    <w:p>
      <w:pPr>
        <w:pStyle w:val="Heading3"/>
      </w:pPr>
      <w:r>
        <w:rPr>
          <w:rFonts w:ascii="Times New Roman" w:hAnsi="Times New Roman"/>
        </w:rPr>
        <w:t>Fehler 4: Aufbau nicht dem Fach angepasst</w:t>
      </w:r>
    </w:p>
    <w:p>
      <w:pPr>
        <w:pStyle w:val="ListBullet"/>
      </w:pPr>
      <w:r>
        <w:t xml:space="preserve">Im </w:t>
      </w:r>
      <w:r>
        <w:rPr>
          <w:b/>
        </w:rPr>
        <w:t>Strafrecht</w:t>
      </w:r>
      <w:r>
        <w:t xml:space="preserve"> immer: TB — RW — Schuld (nie anders)</w:t>
      </w:r>
    </w:p>
    <w:p>
      <w:pPr>
        <w:pStyle w:val="ListBullet"/>
      </w:pPr>
      <w:r>
        <w:t xml:space="preserve">Im </w:t>
      </w:r>
      <w:r>
        <w:rPr>
          <w:b/>
        </w:rPr>
        <w:t>BGB</w:t>
      </w:r>
      <w:r>
        <w:t>: Anspruchsgrundlage erst vollständig prüfen, dann nächste; keine Parallelprüfung</w:t>
      </w:r>
    </w:p>
    <w:p>
      <w:pPr>
        <w:pStyle w:val="ListBullet"/>
      </w:pPr>
      <w:r>
        <w:t xml:space="preserve">Im </w:t>
      </w:r>
      <w:r>
        <w:rPr>
          <w:b/>
        </w:rPr>
        <w:t>ÖR</w:t>
      </w:r>
      <w:r>
        <w:t>: Zulässigkeit vollständig, dann Begründetheit</w:t>
      </w:r>
    </w:p>
    <w:p>
      <w:pPr>
        <w:pStyle w:val="Heading3"/>
      </w:pPr>
      <w:r>
        <w:rPr>
          <w:rFonts w:ascii="Times New Roman" w:hAnsi="Times New Roman"/>
        </w:rPr>
        <w:t>Fehler 5: Verhältnismäßigkeit als Checkliste</w:t>
      </w:r>
    </w:p>
    <w:p>
      <w:pPr>
        <w:jc w:val="left"/>
      </w:pPr>
      <w:r>
        <w:t>Die Verhältnismäßigkeitsprüfung im öffentlichen Recht muss fallbezogen argumentieren, nicht nur die drei Stufen abhaken. Fehlende Argumentation zur Angemessenheit ist in NRW-Klausuren ein Hauptabzugsgrund.</w:t>
      </w:r>
    </w:p>
    <w:p/>
    <w:p>
      <w:pPr>
        <w:pStyle w:val="Heading2"/>
      </w:pPr>
      <w:r>
        <w:rPr>
          <w:rFonts w:ascii="Times New Roman" w:hAnsi="Times New Roman"/>
        </w:rPr>
        <w:t>Subsumtionstechnik: Drei-Satz-Methode</w:t>
      </w:r>
    </w:p>
    <w:p>
      <w:pPr>
        <w:jc w:val="left"/>
      </w:pPr>
      <w:r>
        <w:t>Für jedes Tatbestandsmerkmal:</w:t>
      </w:r>
    </w:p>
    <w:p>
      <w:pPr>
        <w:pStyle w:val="ListNumber"/>
      </w:pPr>
      <w:r>
        <w:rPr>
          <w:b/>
        </w:rPr>
        <w:t>Abstrakt:</w:t>
      </w:r>
      <w:r>
        <w:t xml:space="preserve"> Definition des Merkmals (allgemein)</w:t>
      </w:r>
    </w:p>
    <w:p>
      <w:pPr>
        <w:pStyle w:val="ListNumber"/>
      </w:pPr>
      <w:r>
        <w:rPr>
          <w:b/>
        </w:rPr>
        <w:t>Konkret:</w:t>
      </w:r>
      <w:r>
        <w:t xml:space="preserve"> Welche Tatsachen aus dem Sachverhalt sind einschlägig?</w:t>
      </w:r>
    </w:p>
    <w:p>
      <w:pPr>
        <w:pStyle w:val="ListNumber"/>
      </w:pPr>
      <w:r>
        <w:rPr>
          <w:b/>
        </w:rPr>
        <w:t>Schluss:</w:t>
      </w:r>
      <w:r>
        <w:t xml:space="preserve"> Das Merkmal ist (nicht) erfüllt, weil …</w:t>
      </w:r>
    </w:p>
    <w:p>
      <w:pPr>
        <w:jc w:val="left"/>
      </w:pPr>
      <w:r>
        <w:t>Anwendung auf § 242 StGB (Diebstahl), Merkmal „fremd":</w:t>
      </w:r>
    </w:p>
    <w:p>
      <w:pPr>
        <w:ind w:left="567"/>
      </w:pPr>
      <w:r>
        <w:rPr>
          <w:i/>
        </w:rPr>
        <w:t>Eine Sache ist fremd, wenn sie nicht im Alleineigentum des Täters steht und nicht herrenlos ist.</w:t>
      </w:r>
    </w:p>
    <w:p>
      <w:pPr>
        <w:ind w:left="567"/>
      </w:pPr>
      <w:r>
        <w:rPr>
          <w:i/>
        </w:rPr>
        <w:t>Das Fahrrad stand laut Sachverhalt im Eigentum des B; A hatte kein Eigentum daran.</w:t>
      </w:r>
    </w:p>
    <w:p>
      <w:pPr>
        <w:ind w:left="567"/>
      </w:pPr>
      <w:r>
        <w:rPr>
          <w:i/>
        </w:rPr>
        <w:t>Das Fahrrad war für A damit eine fremde Sache.</w:t>
      </w:r>
    </w:p>
    <w:p/>
    <w:p>
      <w:pPr>
        <w:pStyle w:val="Heading2"/>
      </w:pPr>
      <w:r>
        <w:rPr>
          <w:rFonts w:ascii="Times New Roman" w:hAnsi="Times New Roman"/>
        </w:rPr>
        <w:t>Zeitverteilung in der Klausurstunde</w:t>
      </w:r>
    </w:p>
    <w:p>
      <w:pPr>
        <w:jc w:val="left"/>
      </w:pPr>
      <w:r>
        <w:t>Für eine 5-Stunden-Klausur empfiehlt sich (Einzelheiten in Aktenstück 07):</w:t>
      </w:r>
    </w:p>
    <w:p>
      <w:pPr>
        <w:pStyle w:val="ListBullet"/>
      </w:pPr>
      <w:r>
        <w:t>Lesen und Gliederung: 30 Minuten</w:t>
      </w:r>
    </w:p>
    <w:p>
      <w:pPr>
        <w:pStyle w:val="ListBullet"/>
      </w:pPr>
      <w:r>
        <w:t>Lösungsskizze: 15 Minuten</w:t>
      </w:r>
    </w:p>
    <w:p>
      <w:pPr>
        <w:pStyle w:val="ListBullet"/>
      </w:pPr>
      <w:r>
        <w:t>Ausformulierung: 240 Minuten (4 Stunden)</w:t>
      </w:r>
    </w:p>
    <w:p>
      <w:pPr>
        <w:pStyle w:val="ListBullet"/>
      </w:pPr>
      <w:r>
        <w:t>Kontrolle: 15 Minuten</w:t>
      </w:r>
    </w:p>
    <w:p>
      <w:pPr>
        <w:jc w:val="left"/>
      </w:pPr>
      <w:r>
        <w:t>Annika tendiert dazu, in der Gliederungsphase zu lang zu verweilen und dann unter Zeitdruck zu geraten.</w:t>
      </w:r>
    </w:p>
    <w:p/>
    <w:p>
      <w:pPr>
        <w:pStyle w:val="Heading2"/>
      </w:pPr>
      <w:r>
        <w:rPr>
          <w:rFonts w:ascii="Times New Roman" w:hAnsi="Times New Roman"/>
        </w:rPr>
        <w:t>Übungsaufgaben</w:t>
      </w:r>
    </w:p>
    <w:p>
      <w:pPr>
        <w:jc w:val="left"/>
      </w:pPr>
      <w:r>
        <w:t>Empfohlene Übungsformate:</w:t>
      </w:r>
    </w:p>
    <w:p>
      <w:pPr>
        <w:pStyle w:val="ListBullet"/>
      </w:pPr>
      <w:r>
        <w:t>Täglich 1 Kurzsachverhalt (15 Minuten) im Gutachtenstil lösen.</w:t>
      </w:r>
    </w:p>
    <w:p>
      <w:pPr>
        <w:pStyle w:val="ListBullet"/>
      </w:pPr>
      <w:r>
        <w:t>Wöchentlich 1 vollständige 5-Stunden-Klausur unter Prüfungsbedingungen.</w:t>
      </w:r>
    </w:p>
    <w:p>
      <w:pPr>
        <w:pStyle w:val="ListBullet"/>
      </w:pPr>
      <w:r>
        <w:t>Korrekturtausch in der Lerngruppe (Bonn): Kristina Löhr, Max Freimann, Anika (3 Personen).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433 BGB bei dejure.org</w:t>
      </w:r>
    </w:p>
    <w:p>
      <w:pPr>
        <w:pStyle w:val="ListBullet"/>
      </w:pPr>
      <w:r>
        <w:t>§ 242 StGB bei dejure.org</w:t>
      </w:r>
    </w:p>
    <w:p>
      <w:pPr>
        <w:pStyle w:val="ListBullet"/>
      </w:pPr>
      <w:r>
        <w:t>§ 280 BGB bei dejure.org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