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07 — Zeitmanagement in der 5-Stunden-Klausur</w:t>
      </w:r>
    </w:p>
    <w:p>
      <w:pPr>
        <w:jc w:val="left"/>
      </w:pPr>
      <w:r>
        <w:rPr>
          <w:b/>
        </w:rPr>
        <w:t>Kontext:</w:t>
      </w:r>
      <w:r>
        <w:t xml:space="preserve"> Examensbegleitung Roosendaal-Tinnefeld; Schwäche: Zeitprobleme in Probeklausuren Februar–März 2026.</w:t>
      </w:r>
    </w:p>
    <w:p/>
    <w:p>
      <w:pPr>
        <w:pStyle w:val="Heading2"/>
      </w:pPr>
      <w:r>
        <w:rPr>
          <w:rFonts w:ascii="Times New Roman" w:hAnsi="Times New Roman"/>
        </w:rPr>
        <w:t>Ausgangsproblem</w:t>
      </w:r>
    </w:p>
    <w:p>
      <w:pPr>
        <w:jc w:val="left"/>
      </w:pPr>
      <w:r>
        <w:t>In der 4. Probeklausur (Strafrecht AT, 21.01.2026, Alpmann Schmidt Bonn) hat Annika den zweiten Komplex nahezu unbearbeitet gelassen — nicht wegen Wissenslücken, sondern weil sie im ersten Komplex zu ausführlich war. Ergebnis: 4 Punkte.</w:t>
      </w:r>
    </w:p>
    <w:p>
      <w:pPr>
        <w:jc w:val="left"/>
      </w:pPr>
      <w:r>
        <w:t>Diagnose: Systematisches Zeitproblem, keine inhaltliche Lücke im Kernbereich.</w:t>
      </w:r>
    </w:p>
    <w:p/>
    <w:p>
      <w:pPr>
        <w:pStyle w:val="Heading2"/>
      </w:pPr>
      <w:r>
        <w:rPr>
          <w:rFonts w:ascii="Times New Roman" w:hAnsi="Times New Roman"/>
        </w:rPr>
        <w:t>Zeitplan für die 5-Stunden-Klausur (300 Minuten)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Phase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Dauer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Lesen (2×)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 Minuten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Sachverhalt 1× flüchtig, 1× markierend lesen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Problemerkennung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 Minuten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Welche Rechtsfragen stellt die Klausur? Schwerpunkte identifizieren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Lösungsskizze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 Minuten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Gliederung auf Konzeptpapier, Prüfungsreihenfolge festlegen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Ausformulierung Komplex 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90 Minuten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Max. 90 Minuten — Uhr beachten!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Ausformulierung Komplex II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90 Minuten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Gleiches Zeitbudget, auch wenn Komplex I kürzer wirkte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Puffer / Kleine Prüfungsfragen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60 Minuten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Verbleibende Probleme, kürzere Fragen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Korrekturlesen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 Minuten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Aufbaufehler, fehlende Obersätze, Schlussformulierungen</w:t>
            </w:r>
          </w:p>
        </w:tc>
      </w:tr>
    </w:tbl>
    <w:p>
      <w:pPr>
        <w:jc w:val="left"/>
      </w:pPr>
      <w:r>
        <w:rPr>
          <w:b/>
        </w:rPr>
        <w:t>Kernregel:</w:t>
      </w:r>
      <w:r>
        <w:t xml:space="preserve"> Uhr nach 90 Minuten Schreiben prüfen. Wenn Komplex I noch nicht abgeschlossen: abbrechen, Ergebnis formulieren, zu Komplex II.</w:t>
      </w:r>
    </w:p>
    <w:p/>
    <w:p>
      <w:pPr>
        <w:pStyle w:val="Heading2"/>
      </w:pPr>
      <w:r>
        <w:rPr>
          <w:rFonts w:ascii="Times New Roman" w:hAnsi="Times New Roman"/>
        </w:rPr>
        <w:t>Strategie für die Lesezeit</w:t>
      </w:r>
    </w:p>
    <w:p>
      <w:pPr>
        <w:pStyle w:val="ListNumber"/>
      </w:pPr>
      <w:r>
        <w:t>Sachverhalt zunächst vollständig und ohne Unterbrechung lesen.</w:t>
      </w:r>
    </w:p>
    <w:p>
      <w:pPr>
        <w:pStyle w:val="ListNumber"/>
      </w:pPr>
      <w:r>
        <w:t>Beim zweiten Lesen: Parteien unterstreichen (verschiedene Farben empfohlen).</w:t>
      </w:r>
    </w:p>
    <w:p>
      <w:pPr>
        <w:pStyle w:val="ListNumber"/>
      </w:pPr>
      <w:r>
        <w:t>Rechtsprobleme am Rand notieren (Stichwort genügt: „§ 280?", „Vorsatz?").</w:t>
      </w:r>
    </w:p>
    <w:p>
      <w:pPr>
        <w:pStyle w:val="ListNumber"/>
      </w:pPr>
      <w:r>
        <w:t>Chronologie des Sachverhalts prüfen — Zeitpunkte sind in Klausuren oft entscheidend (z.B. Verzug erst nach Mahnung, § 286 Abs. 1 BGB).</w:t>
      </w:r>
    </w:p>
    <w:p/>
    <w:p>
      <w:pPr>
        <w:pStyle w:val="Heading2"/>
      </w:pPr>
      <w:r>
        <w:rPr>
          <w:rFonts w:ascii="Times New Roman" w:hAnsi="Times New Roman"/>
        </w:rPr>
        <w:t>Lösungsskizze</w:t>
      </w:r>
    </w:p>
    <w:p>
      <w:pPr>
        <w:jc w:val="left"/>
      </w:pPr>
      <w:r>
        <w:t>Die Lösungsskizze auf dem Konzeptpapier sollte enthalten:</w:t>
      </w:r>
    </w:p>
    <w:p>
      <w:pPr>
        <w:pStyle w:val="ListBullet"/>
      </w:pPr>
      <w:r>
        <w:t>Anspruchsgrundlagen in Prüfungsreihenfolge (vertraglich vor gesetzlich; AT vor BT)</w:t>
      </w:r>
    </w:p>
    <w:p>
      <w:pPr>
        <w:pStyle w:val="ListBullet"/>
      </w:pPr>
      <w:r>
        <w:t>Kurzmarkierung der streitigen Punkte (mit „+", „–", „?" gekennzeichnet)</w:t>
      </w:r>
    </w:p>
    <w:p>
      <w:pPr>
        <w:pStyle w:val="ListBullet"/>
      </w:pPr>
      <w:r>
        <w:t>Schätzung der Seitenzahl je Komplex (NRW-Examen: ca. 20–25 DIN-A4-Seiten gesamt)</w:t>
      </w:r>
    </w:p>
    <w:p>
      <w:pPr>
        <w:jc w:val="left"/>
      </w:pPr>
      <w:r>
        <w:t>Annika hat in der Problemklausur keine Lösungsskizze angefertigt — das wird als Pflicht eingeführt.</w:t>
      </w:r>
    </w:p>
    <w:p/>
    <w:p>
      <w:pPr>
        <w:pStyle w:val="Heading2"/>
      </w:pPr>
      <w:r>
        <w:rPr>
          <w:rFonts w:ascii="Times New Roman" w:hAnsi="Times New Roman"/>
        </w:rPr>
        <w:t>Häufige Zeitfehler und Korrekturen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Fehler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Korrektur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 ausführliche Definition bekannter Normen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Knappe Definition (1–2 Sätze) bei unstrittigem Merkmal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Lange Einleitung ohne Anspruchsgrundlage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Sofort mit Obersatz beginnen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Prüfung irrelevanter Punkte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Problemerkennung in Lösungsskizze nutzen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 Ergebnis-Sätze bei Zeitdruck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Lieber knappes Ergebnis als kein Ergebnis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Seitenstarker Theorienstreit ohne Fallbezug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Streit nur bei Ergebnisrelevanz ausführen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Schreibtechnik</w:t>
      </w:r>
    </w:p>
    <w:p>
      <w:pPr>
        <w:pStyle w:val="ListBullet"/>
      </w:pPr>
      <w:r>
        <w:t>Handschrift: deutlich, aber nicht verlangsamt — Leserlichkeit geht vor Eleganz.</w:t>
      </w:r>
    </w:p>
    <w:p>
      <w:pPr>
        <w:pStyle w:val="ListBullet"/>
      </w:pPr>
      <w:r>
        <w:t>Absätze bei jedem neuen Prüfungspunkt (Gliederungsziffern durchnummerieren).</w:t>
      </w:r>
    </w:p>
    <w:p>
      <w:pPr>
        <w:pStyle w:val="ListBullet"/>
      </w:pPr>
      <w:r>
        <w:t>Unterstreichungen sparsam einsetzen (nur Schlüsselwörter).</w:t>
      </w:r>
    </w:p>
    <w:p>
      <w:pPr>
        <w:pStyle w:val="ListBullet"/>
      </w:pPr>
      <w:r>
        <w:t>Abkürzungen: nur allgemein anerkannte (BGB, StGB, VA, AGB, OVG etc.).</w:t>
      </w:r>
    </w:p>
    <w:p/>
    <w:p>
      <w:pPr>
        <w:pStyle w:val="Heading2"/>
      </w:pPr>
      <w:r>
        <w:rPr>
          <w:rFonts w:ascii="Times New Roman" w:hAnsi="Times New Roman"/>
        </w:rPr>
        <w:t>Trainingsplan für Zeitmanagement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Probeklausur BGB 5h mit Zeitprotokoll (Uhr bei jedem Phasenwechsel notieren)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29.04.2026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Auswertung mit Dr. Dueck: Analyse Zeitprotokoll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13.05.2026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Probeklausur StR AT 5h — Ziel: beide Komplexe vollständig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27.05.2026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Probeklausur ÖR 5h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§ 286 BGB bei dejure.org (Mahnung, Verzug)</w:t>
      </w:r>
    </w:p>
    <w:p>
      <w:pPr>
        <w:pStyle w:val="ListBullet"/>
      </w:pPr>
      <w:r>
        <w:t>JPA NRW, Hinweise zur schriftlichen Prüfung (Stand 2025)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