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10 — Examensvorbereitungsplan: 18 Monate (September 2025 – Februar 2027)</w:t>
      </w:r>
    </w:p>
    <w:p>
      <w:pPr>
        <w:jc w:val="left"/>
      </w:pPr>
      <w:r>
        <w:rPr>
          <w:b/>
        </w:rPr>
        <w:t>Kontext:</w:t>
      </w:r>
      <w:r>
        <w:t xml:space="preserve"> Gesamtplan Roosendaal-Tinnefeld; Detailplan in </w:t>
      </w:r>
      <w:r>
        <w:t>examensvorbereitungsplan_18monate_roosendaal.docx</w:t>
      </w:r>
      <w:r>
        <w:t xml:space="preserve"> und </w:t>
      </w:r>
      <w:r>
        <w:t>stoffplan_taglich_examensvorbereitung.xlsx</w:t>
      </w:r>
      <w:r>
        <w:t>.</w:t>
      </w:r>
    </w:p>
    <w:p/>
    <w:p>
      <w:pPr>
        <w:pStyle w:val="Heading2"/>
      </w:pPr>
      <w:r>
        <w:rPr>
          <w:rFonts w:ascii="Times New Roman" w:hAnsi="Times New Roman"/>
        </w:rPr>
        <w:t>Überblick: Phasen der Vorbereitung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Phase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Schwerpunkt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Phase 1: Grundlagenwiederholung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Sep. 2025 – Dez. 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Alle Fächer systematisch wiederholen, Repetitorium starten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Phase 2: Vertiefung und Klausurentraining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Jan. 2026 – Jun.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Intensive Klausuren, Schwächen analysieren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Phase 3: Hausarbeit und Schwerpunkt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Feb.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IPR-Schwerpunkthausarbeit einreichen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Phase 4: Konsolidierung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Jul. 2026 – Okt.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Systematische Wiederholung, Schwächen schließen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Phase 5: Examensklausuren und Anmeldung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Nov. 2026 – Jan. 2027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Examensnahe Klausuren, mentale Vorbereitung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Phase 6: Letzte Vorbereitung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Feb. 2027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Kurzwiederholung, Schemata, Hilfsmittel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Phase 1: Grundlagenwiederholung (Sep.–Dez. 2025)</w:t>
      </w:r>
    </w:p>
    <w:p>
      <w:pPr>
        <w:jc w:val="left"/>
      </w:pPr>
      <w:r>
        <w:rPr>
          <w:b/>
        </w:rPr>
        <w:t>Wöchentliche Struktur: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Fach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Thema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Montag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BGB 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Willenserkärung, Stellvertretung, Anfechtung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Dienstag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 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Deliktsaufbau, Kausalität, obj. Zurechnung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Mittwoch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ÖR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GG Grundrechte AT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Donnerstag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BGB SchuldR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Allgemeines Schuldrecht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Freitag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Repetitorium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Alpmann Schmidt Bonn (Pflichttermine)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Samstag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Klausurentraining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 Kurzklausur (2 Stunden) + Selbstkorrektur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Sonntag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Pause / IPR-Vorbereitung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Witzleben-Vorlesung nachlesen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Phase 2: Klausurentraining und Vertiefung (Jan.–Jun. 2026)</w:t>
      </w:r>
    </w:p>
    <w:p>
      <w:pPr>
        <w:jc w:val="left"/>
      </w:pPr>
      <w:r>
        <w:t>Mindest-Klausurzahl nach Fach bis Ende Juni 2026: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Fach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Klausuren Ziel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Stand Mai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BGB 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 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BGB SchuldR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 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BGB SachenR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BGB FamR/ErbR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 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 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 BT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ÖR GG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ÖR Verwaltungsrecht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</w:tr>
    </w:tbl>
    <w:p>
      <w:pPr>
        <w:jc w:val="left"/>
      </w:pPr>
      <w:r>
        <w:t>Hinweis: Krankheitsbedingter Ausfall März/April 2026 (Pfeiffersches Drüsenfieber) — Plan wurde entsprechend angepasst.</w:t>
      </w:r>
    </w:p>
    <w:p/>
    <w:p>
      <w:pPr>
        <w:pStyle w:val="Heading2"/>
      </w:pPr>
      <w:r>
        <w:rPr>
          <w:rFonts w:ascii="Times New Roman" w:hAnsi="Times New Roman"/>
        </w:rPr>
        <w:t>Phase 3: IPR-Schwerpunkthausarbeit (Feb. 2026)</w:t>
      </w:r>
    </w:p>
    <w:p>
      <w:pPr>
        <w:pStyle w:val="ListBullet"/>
      </w:pPr>
      <w:r>
        <w:t>Einreichung: 15.02.2026 (Verlängerung aufgrund Krankheit beantragt und gewährt)</w:t>
      </w:r>
    </w:p>
    <w:p>
      <w:pPr>
        <w:pStyle w:val="ListBullet"/>
      </w:pPr>
      <w:r>
        <w:t>Note: 11 Punkte</w:t>
      </w:r>
    </w:p>
    <w:p>
      <w:pPr>
        <w:pStyle w:val="ListBullet"/>
      </w:pPr>
      <w:r>
        <w:t>Zeitaufwand: ca. 4 Wochen Vollzeiterarbeitung (Januar–Februar 2026, teilweise parallel zu Krankheitsphase)</w:t>
      </w:r>
    </w:p>
    <w:p>
      <w:pPr>
        <w:pStyle w:val="ListBullet"/>
      </w:pPr>
      <w:r>
        <w:t>Einzelheiten: Aktenstück 14</w:t>
      </w:r>
    </w:p>
    <w:p/>
    <w:p>
      <w:pPr>
        <w:pStyle w:val="Heading2"/>
      </w:pPr>
      <w:r>
        <w:rPr>
          <w:rFonts w:ascii="Times New Roman" w:hAnsi="Times New Roman"/>
        </w:rPr>
        <w:t>Phase 4: Konsolidierung (Jul.–Okt. 2026)</w:t>
      </w:r>
    </w:p>
    <w:p>
      <w:pPr>
        <w:jc w:val="left"/>
      </w:pPr>
      <w:r>
        <w:t>Schwerpunkt:</w:t>
      </w:r>
    </w:p>
    <w:p>
      <w:pPr>
        <w:pStyle w:val="ListBullet"/>
      </w:pPr>
      <w:r>
        <w:t>Schließen der Lücken in FamR/ErbR und StR BT.</w:t>
      </w:r>
    </w:p>
    <w:p>
      <w:pPr>
        <w:pStyle w:val="ListBullet"/>
      </w:pPr>
      <w:r>
        <w:t>Mindestens 2 Vollklausuren pro Woche.</w:t>
      </w:r>
    </w:p>
    <w:p>
      <w:pPr>
        <w:pStyle w:val="ListBullet"/>
      </w:pPr>
      <w:r>
        <w:t>Systematische Schemata-Wiederholung (täglich 30 Minuten: Lernkarten Strafrecht, BGB).</w:t>
      </w:r>
    </w:p>
    <w:p>
      <w:pPr>
        <w:pStyle w:val="ListBullet"/>
      </w:pPr>
      <w:r>
        <w:t>Erste Examenssimulation (Vollklausur 5h unter Prüfungsbedingungen ohne Unterbrechung): September 2026.</w:t>
      </w:r>
    </w:p>
    <w:p/>
    <w:p>
      <w:pPr>
        <w:pStyle w:val="Heading2"/>
      </w:pPr>
      <w:r>
        <w:rPr>
          <w:rFonts w:ascii="Times New Roman" w:hAnsi="Times New Roman"/>
        </w:rPr>
        <w:t>Phase 5: Examensklausuren und Anmeldung (Nov. 2026 – Jan. 2027)</w:t>
      </w:r>
    </w:p>
    <w:p>
      <w:pPr>
        <w:pStyle w:val="ListBullet"/>
      </w:pPr>
      <w:r>
        <w:t>JPA-Anmeldung: bereits erfolgt April 2026; Zulassungsbescheid liegt vor.</w:t>
      </w:r>
    </w:p>
    <w:p>
      <w:pPr>
        <w:pStyle w:val="ListBullet"/>
      </w:pPr>
      <w:r>
        <w:t>Examensnahe Übungsklausuren: Alpmann Schmidt Examenssimulation (November 2026).</w:t>
      </w:r>
    </w:p>
    <w:p>
      <w:pPr>
        <w:pStyle w:val="ListBullet"/>
      </w:pPr>
      <w:r>
        <w:t>Regelmäßige Pause: Weihnachten 2026 — 3 Tage Vollpause eingeplant.</w:t>
      </w:r>
    </w:p>
    <w:p/>
    <w:p>
      <w:pPr>
        <w:pStyle w:val="Heading2"/>
      </w:pPr>
      <w:r>
        <w:rPr>
          <w:rFonts w:ascii="Times New Roman" w:hAnsi="Times New Roman"/>
        </w:rPr>
        <w:t>Phase 6: Letzte Vorbereitung (Feb. 2027)</w:t>
      </w:r>
    </w:p>
    <w:p>
      <w:pPr>
        <w:pStyle w:val="ListBullet"/>
      </w:pPr>
      <w:r>
        <w:t>Keine neuen Themen mehr anschneiden.</w:t>
      </w:r>
    </w:p>
    <w:p>
      <w:pPr>
        <w:pStyle w:val="ListBullet"/>
      </w:pPr>
      <w:r>
        <w:t>Nur Wiederholung: Schemata, Lernkarten, wichtigste Entscheidungen.</w:t>
      </w:r>
    </w:p>
    <w:p>
      <w:pPr>
        <w:pStyle w:val="ListBullet"/>
      </w:pPr>
      <w:r>
        <w:t>Hilfsmittel kontrollieren (Aktenstück 15).</w:t>
      </w:r>
    </w:p>
    <w:p>
      <w:pPr>
        <w:pStyle w:val="ListBullet"/>
      </w:pPr>
      <w:r>
        <w:t>Psychologische Stabilisierung (Aktenstück 20).</w:t>
      </w:r>
    </w:p>
    <w:p/>
    <w:p>
      <w:pPr>
        <w:pStyle w:val="Heading2"/>
      </w:pPr>
      <w:r>
        <w:rPr>
          <w:rFonts w:ascii="Times New Roman" w:hAnsi="Times New Roman"/>
        </w:rPr>
        <w:t>Meilensteine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01.10.2025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Repetitorium Alpmann Schmidt Bonn gestartet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IPR-Hausarbeit eingereicht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Erkrankung (Pfeiffersches Drüsenfieber); Plan angepasst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Anmeldung JPA Köln eingereicht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Eingangsbestätigung JPA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Jun.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Ziel: Klausurendurchschnitt 6,5+ Punkte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Sep.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 vollständige Examenssimulation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Feb./Mär. 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Schriftliche Prüfung (genaue Termine folgen)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examensvorbereitungsplan_18monate_roosendaal.docx</w:t>
      </w:r>
      <w:r>
        <w:t xml:space="preserve"> — vollständiger Detailplan</w:t>
      </w:r>
    </w:p>
    <w:p>
      <w:pPr>
        <w:pStyle w:val="ListBullet"/>
      </w:pPr>
      <w:r>
        <w:t>stoffplan_taglich_examensvorbereitung.xlsx</w:t>
      </w:r>
      <w:r>
        <w:t xml:space="preserve"> — Tagesplanung mit Fortschrittstracking</w:t>
      </w:r>
    </w:p>
    <w:p>
      <w:pPr>
        <w:pStyle w:val="ListBullet"/>
      </w:pPr>
      <w:r>
        <w:t>JAG NRW § 9 bei dejure.org (Nachteilsausgleich)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