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11 — Mentorin Dr. Annette Dueck: Lehrstuhlkontakt und Examenstipps</w:t>
      </w:r>
    </w:p>
    <w:p>
      <w:pPr>
        <w:jc w:val="left"/>
      </w:pPr>
      <w:r>
        <w:rPr>
          <w:b/>
        </w:rPr>
        <w:t>Mentorin:</w:t>
      </w:r>
      <w:r>
        <w:t xml:space="preserve"> Dr. Annette Dueck, Wissenschaftliche Mitarbeiterin, Lehrstuhl für IPR und Rechtsvergleichung, Prof. Dr. Friedrich Witzleben, Universität Bonn</w:t>
      </w:r>
    </w:p>
    <w:p>
      <w:pPr>
        <w:jc w:val="left"/>
      </w:pPr>
      <w:r>
        <w:rPr>
          <w:b/>
        </w:rPr>
        <w:t>Verhältnis:</w:t>
      </w:r>
      <w:r>
        <w:t xml:space="preserve"> Seit WS 2023/24; Dr. Dueck hat Annika in der Schwerpunkt-Vorlesung IPR begleitet und die Hausarbeit betreut.</w:t>
      </w:r>
    </w:p>
    <w:p/>
    <w:p>
      <w:pPr>
        <w:pStyle w:val="Heading2"/>
      </w:pPr>
      <w:r>
        <w:rPr>
          <w:rFonts w:ascii="Times New Roman" w:hAnsi="Times New Roman"/>
        </w:rPr>
        <w:t>Beratungsgespräche (Übersicht)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Thema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15.09.2025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Examensplanung, 18-Monats-Übersicht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Repetitorium Alpmann Schmidt empfohlen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12.11.2025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Klausurstil BGB AT, erste Probekorrektur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Subsumtion ausbauen, Definitionen präziser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Krisengespräch nach 4-Punkte-Klausur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Psychologische Studienberatung empfohlen; Zeitplan angepasst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Abgabe IPR-Hausarbeit, letzte Korrektur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inhaltlichen Mängel; Formalia geprüft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Genesungsgespräch nach Pfeiffersches Drüsenfieber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Nachteilsausgleich besprochen; Plan angepasst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Zwischenbilanz Klausurenentwicklung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Positives Feedback; StR BT noch nacharbeiten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Tipps von Dr. Dueck für das 1. Staatsexamen NRW</w:t>
      </w:r>
    </w:p>
    <w:p>
      <w:pPr>
        <w:pStyle w:val="Heading3"/>
      </w:pPr>
      <w:r>
        <w:rPr>
          <w:rFonts w:ascii="Times New Roman" w:hAnsi="Times New Roman"/>
        </w:rPr>
        <w:t>Zur Klausurtechnik</w:t>
      </w:r>
    </w:p>
    <w:p>
      <w:pPr>
        <w:pStyle w:val="ListNumber"/>
      </w:pPr>
      <w:r>
        <w:t>Der Obersatz muss die gesamte zu prüfende Rechtsfolge benennen — nicht nur die Norm. Nicht „Es könnten Ansprüche aus § 433 BGB bestehen", sondern „K könnte gegen V einen Anspruch auf Übereignung und Übergabe des Fahrzeugs aus § 433 Abs. 1 BGB haben."</w:t>
      </w:r>
    </w:p>
    <w:p>
      <w:pPr>
        <w:pStyle w:val="ListNumber"/>
      </w:pPr>
      <w:r>
        <w:t>Im ÖR-Klausurteil besonders beachten: Die Rechtsgrundlage für die behördliche Maßnahme muss positiv festgestellt werden, nicht nur die Rechtswidrigkeit.</w:t>
      </w:r>
    </w:p>
    <w:p>
      <w:pPr>
        <w:pStyle w:val="ListNumber"/>
      </w:pPr>
      <w:r>
        <w:t>Schwerpunktfragen nicht überdehnen — der Korrekteur sieht, ob eine Studentin weiß, was der Schwerpunkt ist.</w:t>
      </w:r>
    </w:p>
    <w:p>
      <w:pPr>
        <w:pStyle w:val="Heading3"/>
      </w:pPr>
      <w:r>
        <w:rPr>
          <w:rFonts w:ascii="Times New Roman" w:hAnsi="Times New Roman"/>
        </w:rPr>
        <w:t>Zur Zeiteinteilung</w:t>
      </w:r>
    </w:p>
    <w:p>
      <w:pPr>
        <w:pStyle w:val="ListBullet"/>
      </w:pPr>
      <w:r>
        <w:t>NRW-Klausuren haben regelmäßig 2–3 Hauptprüfungspunkte. Kein Punkt überproportional ausarbeiten.</w:t>
      </w:r>
    </w:p>
    <w:p>
      <w:pPr>
        <w:pStyle w:val="ListBullet"/>
      </w:pPr>
      <w:r>
        <w:t>Bei 5-Stunden-Klausuren: Ergebnis-Satz immer formulieren, auch wenn Prüfung nicht vollständig.</w:t>
      </w:r>
    </w:p>
    <w:p>
      <w:pPr>
        <w:pStyle w:val="Heading3"/>
      </w:pPr>
      <w:r>
        <w:rPr>
          <w:rFonts w:ascii="Times New Roman" w:hAnsi="Times New Roman"/>
        </w:rPr>
        <w:t>Zur Vorbereitung generell</w:t>
      </w:r>
    </w:p>
    <w:p>
      <w:pPr>
        <w:pStyle w:val="ListBullet"/>
      </w:pPr>
      <w:r>
        <w:t>Rechtsprechung des BGH zu § 280 BGB, § 433 BGB (Sachmangel, Nacherfüllung) bis Ende 2026 aktuell halten.</w:t>
      </w:r>
    </w:p>
    <w:p>
      <w:pPr>
        <w:pStyle w:val="ListBullet"/>
      </w:pPr>
      <w:r>
        <w:t>Wichtige Lektüre: Musielak/Voit, Grundkurs ZPO (für Anspruchsprozesse im BGB-Teil).</w:t>
      </w:r>
    </w:p>
    <w:p>
      <w:pPr>
        <w:pStyle w:val="ListBullet"/>
      </w:pPr>
      <w:r>
        <w:t>Für StR: Rengier, Strafrecht AT und BT (Alpmann-Skripten sind eine gute Ergänzung).</w:t>
      </w:r>
    </w:p>
    <w:p>
      <w:pPr>
        <w:pStyle w:val="Heading3"/>
      </w:pPr>
      <w:r>
        <w:rPr>
          <w:rFonts w:ascii="Times New Roman" w:hAnsi="Times New Roman"/>
        </w:rPr>
        <w:t>Persönlicher Rat</w:t>
      </w:r>
    </w:p>
    <w:p>
      <w:pPr>
        <w:ind w:left="567"/>
      </w:pPr>
      <w:r>
        <w:rPr>
          <w:i/>
        </w:rPr>
        <w:t>„Das Examen ist ein Marathon, kein Sprint. Die Krise im Januar ist normal — fast alle erfolgreichen Examensteilnehmer haben eine solche Phase. Was zählt, ist, wie man danach weiterarbeitet."</w:t>
      </w:r>
    </w:p>
    <w:p>
      <w:pPr>
        <w:ind w:left="567"/>
      </w:pPr>
      <w:r>
        <w:rPr>
          <w:i/>
        </w:rPr>
        <w:t>— Dr. Annette Dueck, 22.01.2026</w:t>
      </w:r>
    </w:p>
    <w:p/>
    <w:p>
      <w:pPr>
        <w:pStyle w:val="Heading2"/>
      </w:pPr>
      <w:r>
        <w:rPr>
          <w:rFonts w:ascii="Times New Roman" w:hAnsi="Times New Roman"/>
        </w:rPr>
        <w:t>Kontaktpflege</w:t>
      </w:r>
    </w:p>
    <w:p>
      <w:pPr>
        <w:jc w:val="left"/>
      </w:pPr>
      <w:r>
        <w:t>Dr. Dueck steht für individuelle Rückfragen per E-Mail (dueck@jura.uni-bonn.de) zur Verfügung. Annika hat folgende Regeln vereinbart:</w:t>
      </w:r>
    </w:p>
    <w:p>
      <w:pPr>
        <w:pStyle w:val="ListBullet"/>
      </w:pPr>
      <w:r>
        <w:t>Höchstens eine E-Mail pro Woche mit konkreten fachlichen Fragen.</w:t>
      </w:r>
    </w:p>
    <w:p>
      <w:pPr>
        <w:pStyle w:val="ListBullet"/>
      </w:pPr>
      <w:r>
        <w:t>Monatliches persönliches Gespräch (30 Minuten, Juridicum Bonn, Zimmer 2.18).</w:t>
      </w:r>
    </w:p>
    <w:p>
      <w:pPr>
        <w:pStyle w:val="ListBullet"/>
      </w:pPr>
      <w:r>
        <w:t>Kein Kontakt zu Prof. Dr. Witzleben direkt — dieser ist über Dr. Dueck erreichbar und hat angeboten, im November 2026 ein Prüfungsgespräch zu simulieren.</w:t>
      </w:r>
    </w:p>
    <w:p/>
    <w:p>
      <w:pPr>
        <w:pStyle w:val="Heading2"/>
      </w:pPr>
      <w:r>
        <w:rPr>
          <w:rFonts w:ascii="Times New Roman" w:hAnsi="Times New Roman"/>
        </w:rPr>
        <w:t>Lehrstuhlkontakt für Schwerpunktprüfung</w:t>
      </w:r>
    </w:p>
    <w:p>
      <w:pPr>
        <w:jc w:val="left"/>
      </w:pPr>
      <w:r>
        <w:t>Die mündliche Prüfung im Schwerpunktbereich findet vor einer Kommission der Universität Bonn statt (nicht beim JPA). Witzleben ist voraussichtlich Prüfer. Dr. Dueck empfiehlt:</w:t>
      </w:r>
    </w:p>
    <w:p>
      <w:pPr>
        <w:pStyle w:val="ListBullet"/>
      </w:pPr>
      <w:r>
        <w:t>Seminararbeiten zum Schwerpunkt nochmals durchlesen.</w:t>
      </w:r>
    </w:p>
    <w:p>
      <w:pPr>
        <w:pStyle w:val="ListBullet"/>
      </w:pPr>
      <w:r>
        <w:t>Aktuelle EuGH-Entscheidungen zu Rom-I-VO kennen (Urteile 2024/2025).</w:t>
      </w:r>
    </w:p>
    <w:p>
      <w:pPr>
        <w:pStyle w:val="ListBullet"/>
      </w:pPr>
      <w:r>
        <w:t>Kommentierungen zu Art. 3, 4 Rom-I-VO aus dem Palandt/Grüneberg, Internationales Privatrecht, kennen.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Gespräche mit Dr. Dueck, Protokoll intern (Oktober 2025 – Juni 2026)</w:t>
      </w:r>
    </w:p>
    <w:p>
      <w:pPr>
        <w:pStyle w:val="ListBullet"/>
      </w:pPr>
      <w:r>
        <w:t>Lehrstuhl IPR Uni Bonn, Informationen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