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13 — Familienkonflikt: Vater Gerhard / Wirtschaftsanwaltspraktikum vs. LL.M.</w:t>
      </w:r>
    </w:p>
    <w:p>
      <w:pPr>
        <w:jc w:val="left"/>
      </w:pPr>
      <w:r>
        <w:rPr>
          <w:b/>
        </w:rPr>
        <w:t>Kontext:</w:t>
      </w:r>
      <w:r>
        <w:t xml:space="preserve"> Persönlicher Konflikt Roosendaal-Tinnefeld; Hintergrund für die Examensplanung und psychische Belastung.</w:t>
      </w:r>
    </w:p>
    <w:p/>
    <w:p>
      <w:pPr>
        <w:pStyle w:val="Heading2"/>
      </w:pPr>
      <w:r>
        <w:rPr>
          <w:rFonts w:ascii="Times New Roman" w:hAnsi="Times New Roman"/>
        </w:rPr>
        <w:t>Ausgangslage</w:t>
      </w:r>
    </w:p>
    <w:p>
      <w:pPr>
        <w:jc w:val="left"/>
      </w:pPr>
      <w:r>
        <w:t>Gerhard Roosendaal-Tinnefeld (Jahrgang 1968) ist Rechtsanwalt und Gründungspartner einer mittelgroßen Wirtschaftsrechtskanzlei in Köln (Schwerpunkt M&amp;A, Gesellschaftsrecht). Er hat die Ausbildung seiner Tochter bisher mitfinanziert und erwartet im Gegenzug, dass Annika nach dem Examen ein einjähriges Pflichtpraktikum in der Kanzlei des Vaters absolviert — mit Aussicht auf eine Partnerschaft.</w:t>
      </w:r>
    </w:p>
    <w:p>
      <w:pPr>
        <w:jc w:val="left"/>
      </w:pPr>
      <w:r>
        <w:t>Annika hingegen plant einen LL.M. (Master of Laws) mit Schwerpunkt International Commercial Law, bevorzugt an der University of Oxford (Merton College) oder der Universität zu Köln (internationales Programm), um anschließend im internationalen Transaktionsrecht tätig zu werden — idealerweise bei einer großen internationalen Wirtschaftskanzlei oder einer Nichtregierungsorganisation im Bereich Handelsrecht.</w:t>
      </w:r>
    </w:p>
    <w:p/>
    <w:p>
      <w:pPr>
        <w:pStyle w:val="Heading2"/>
      </w:pPr>
      <w:r>
        <w:rPr>
          <w:rFonts w:ascii="Times New Roman" w:hAnsi="Times New Roman"/>
        </w:rPr>
        <w:t>Konfliktchronologie</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Datum</w:t>
            </w:r>
          </w:p>
        </w:tc>
        <w:tc>
          <w:tcPr>
            <w:tcW w:type="dxa" w:w="4536"/>
          </w:tcPr>
          <w:p>
            <w:r>
              <w:rPr>
                <w:rFonts w:ascii="Times New Roman" w:hAnsi="Times New Roman"/>
                <w:b/>
                <w:sz w:val="20"/>
              </w:rPr>
              <w:t>Ereignis</w:t>
            </w:r>
          </w:p>
        </w:tc>
      </w:tr>
      <w:tr>
        <w:tc>
          <w:tcPr>
            <w:tcW w:type="dxa" w:w="4536"/>
          </w:tcPr>
          <w:p>
            <w:r>
              <w:rPr>
                <w:rFonts w:ascii="Times New Roman" w:hAnsi="Times New Roman"/>
                <w:sz w:val="20"/>
              </w:rPr>
              <w:t>Sep. 2025</w:t>
            </w:r>
          </w:p>
        </w:tc>
        <w:tc>
          <w:tcPr>
            <w:tcW w:type="dxa" w:w="4536"/>
          </w:tcPr>
          <w:p>
            <w:r>
              <w:rPr>
                <w:rFonts w:ascii="Times New Roman" w:hAnsi="Times New Roman"/>
                <w:sz w:val="20"/>
              </w:rPr>
              <w:t>Erstgespräch über Examensplanung; Vater äußert erstmals Erwartung Praktikum</w:t>
            </w:r>
          </w:p>
        </w:tc>
      </w:tr>
      <w:tr>
        <w:tc>
          <w:tcPr>
            <w:tcW w:type="dxa" w:w="4536"/>
          </w:tcPr>
          <w:p>
            <w:r>
              <w:rPr>
                <w:rFonts w:ascii="Times New Roman" w:hAnsi="Times New Roman"/>
                <w:sz w:val="20"/>
              </w:rPr>
              <w:t>Dez. 2025</w:t>
            </w:r>
          </w:p>
        </w:tc>
        <w:tc>
          <w:tcPr>
            <w:tcW w:type="dxa" w:w="4536"/>
          </w:tcPr>
          <w:p>
            <w:r>
              <w:rPr>
                <w:rFonts w:ascii="Times New Roman" w:hAnsi="Times New Roman"/>
                <w:sz w:val="20"/>
              </w:rPr>
              <w:t>Weihnachtsgespräch in Bonn; Vater konfrontiert Annika direkt: „Du hast eine Stelle bei mir nach dem Examen"</w:t>
            </w:r>
          </w:p>
        </w:tc>
      </w:tr>
      <w:tr>
        <w:tc>
          <w:tcPr>
            <w:tcW w:type="dxa" w:w="4536"/>
          </w:tcPr>
          <w:p>
            <w:r>
              <w:rPr>
                <w:rFonts w:ascii="Times New Roman" w:hAnsi="Times New Roman"/>
                <w:sz w:val="20"/>
              </w:rPr>
              <w:t>Feb. 2026</w:t>
            </w:r>
          </w:p>
        </w:tc>
        <w:tc>
          <w:tcPr>
            <w:tcW w:type="dxa" w:w="4536"/>
          </w:tcPr>
          <w:p>
            <w:r>
              <w:rPr>
                <w:rFonts w:ascii="Times New Roman" w:hAnsi="Times New Roman"/>
                <w:sz w:val="20"/>
              </w:rPr>
              <w:t>E-Mail Vater an Annika (12.04.2026): erneuter Druck, Androhung Einstellung Finanzierungsbeitrag Repetitorium</w:t>
            </w:r>
          </w:p>
        </w:tc>
      </w:tr>
      <w:tr>
        <w:tc>
          <w:tcPr>
            <w:tcW w:type="dxa" w:w="4536"/>
          </w:tcPr>
          <w:p>
            <w:r>
              <w:rPr>
                <w:rFonts w:ascii="Times New Roman" w:hAnsi="Times New Roman"/>
                <w:sz w:val="20"/>
              </w:rPr>
              <w:t>Apr. 2026</w:t>
            </w:r>
          </w:p>
        </w:tc>
        <w:tc>
          <w:tcPr>
            <w:tcW w:type="dxa" w:w="4536"/>
          </w:tcPr>
          <w:p>
            <w:r>
              <w:rPr>
                <w:rFonts w:ascii="Times New Roman" w:hAnsi="Times New Roman"/>
                <w:sz w:val="20"/>
              </w:rPr>
              <w:t>Telefonat nach E-Mail; kein Ergebnis; Annika weint; Finanzierungsbeitrag bleibt vorerst</w:t>
            </w:r>
          </w:p>
        </w:tc>
      </w:tr>
      <w:tr>
        <w:tc>
          <w:tcPr>
            <w:tcW w:type="dxa" w:w="4536"/>
          </w:tcPr>
          <w:p>
            <w:r>
              <w:rPr>
                <w:rFonts w:ascii="Times New Roman" w:hAnsi="Times New Roman"/>
                <w:sz w:val="20"/>
              </w:rPr>
              <w:t>Mai 2026</w:t>
            </w:r>
          </w:p>
        </w:tc>
        <w:tc>
          <w:tcPr>
            <w:tcW w:type="dxa" w:w="4536"/>
          </w:tcPr>
          <w:p>
            <w:r>
              <w:rPr>
                <w:rFonts w:ascii="Times New Roman" w:hAnsi="Times New Roman"/>
                <w:sz w:val="20"/>
              </w:rPr>
              <w:t>Gespräch in Köln; Annäherung: Vater akzeptiert LL.M.-Bewerbung, fordert aber Parallelvorhaben Kanzleipraktikum</w:t>
            </w:r>
          </w:p>
        </w:tc>
      </w:tr>
    </w:tbl>
    <w:p/>
    <w:p>
      <w:pPr>
        <w:pStyle w:val="Heading2"/>
      </w:pPr>
      <w:r>
        <w:rPr>
          <w:rFonts w:ascii="Times New Roman" w:hAnsi="Times New Roman"/>
        </w:rPr>
        <w:t>Positionen im Detail</w:t>
      </w:r>
    </w:p>
    <w:p>
      <w:pPr>
        <w:jc w:val="left"/>
      </w:pPr>
      <w:r>
        <w:rPr>
          <w:b/>
        </w:rPr>
        <w:t>Vater Gerhard:</w:t>
      </w:r>
    </w:p>
    <w:p>
      <w:pPr>
        <w:pStyle w:val="ListBullet"/>
      </w:pPr>
      <w:r>
        <w:t>Kanzleipraktikum als „Gegenleistung" für Finanzierung (ca. 700 EUR/Monat Unterstützung seit Studienbeginn).</w:t>
      </w:r>
    </w:p>
    <w:p>
      <w:pPr>
        <w:pStyle w:val="ListBullet"/>
      </w:pPr>
      <w:r>
        <w:t>Sorge: LL.M.-Studium im Ausland kostet 40.000–60.000 GBP in Oxford; Finanzierung unklar.</w:t>
      </w:r>
    </w:p>
    <w:p>
      <w:pPr>
        <w:pStyle w:val="ListBullet"/>
      </w:pPr>
      <w:r>
        <w:t>Beruflicher Wunsch: Tochter als Nachfolgerin für Kanzlei.</w:t>
      </w:r>
    </w:p>
    <w:p>
      <w:pPr>
        <w:pStyle w:val="ListBullet"/>
      </w:pPr>
      <w:r>
        <w:t>Respektiert Annikas Fähigkeiten, aber skeptisch gegenüber akademischen Karrierepfaden.</w:t>
      </w:r>
    </w:p>
    <w:p>
      <w:pPr>
        <w:jc w:val="left"/>
      </w:pPr>
      <w:r>
        <w:rPr>
          <w:b/>
        </w:rPr>
        <w:t>Annika:</w:t>
      </w:r>
    </w:p>
    <w:p>
      <w:pPr>
        <w:pStyle w:val="ListBullet"/>
      </w:pPr>
      <w:r>
        <w:t>LL.M. als Investition in internationales Netzwerk und Spezialisierung.</w:t>
      </w:r>
    </w:p>
    <w:p>
      <w:pPr>
        <w:pStyle w:val="ListBullet"/>
      </w:pPr>
      <w:r>
        <w:t>Kanzlei des Vaters (M&amp;A national) entspricht nicht ihrem fachlichen Interesse (internationales Recht).</w:t>
      </w:r>
    </w:p>
    <w:p>
      <w:pPr>
        <w:pStyle w:val="ListBullet"/>
      </w:pPr>
      <w:r>
        <w:t>Empfindet Konditionierung der Finanzierung als Einschränkung ihrer Autonomie.</w:t>
      </w:r>
    </w:p>
    <w:p>
      <w:pPr>
        <w:pStyle w:val="ListBullet"/>
      </w:pPr>
      <w:r>
        <w:t>Möglicher Kompromiss: Praktikum bei Kanzlei des Vaters während des LL.M. in Semesterpausen.</w:t>
      </w:r>
    </w:p>
    <w:p/>
    <w:p>
      <w:pPr>
        <w:pStyle w:val="Heading2"/>
      </w:pPr>
      <w:r>
        <w:rPr>
          <w:rFonts w:ascii="Times New Roman" w:hAnsi="Times New Roman"/>
        </w:rPr>
        <w:t>Rechtliche Einordnung (für Lernzwecke)</w:t>
      </w:r>
    </w:p>
    <w:p>
      <w:pPr>
        <w:jc w:val="left"/>
      </w:pPr>
      <w:r>
        <w:t xml:space="preserve">Dieser Konflikt ist für das Plugin </w:t>
      </w:r>
      <w:r>
        <w:t>jurastudium</w:t>
      </w:r>
      <w:r>
        <w:t xml:space="preserve"> als psychosozialer Kontextfall relevant, nicht als Rechtsstreit. Folgende rechtliche Aspekte könnten theoretisch relevant sein:</w:t>
      </w:r>
    </w:p>
    <w:p>
      <w:pPr>
        <w:pStyle w:val="ListBullet"/>
      </w:pPr>
      <w:r>
        <w:t>Unterhaltsrecht nach § 1610 BGB: Eltern schulden Unterhalt für Erstausbildung; ein LL.M. könnte als zweite Ausbildung eingestuft werden (dann kein Anspruch nach h.M., sofern kein direkter Aufbau auf die erste Ausbildung).</w:t>
      </w:r>
    </w:p>
    <w:p>
      <w:pPr>
        <w:pStyle w:val="ListBullet"/>
      </w:pPr>
      <w:r>
        <w:t>Wirksamkeit einer Rückzahlungsvereinbarung für Ausbildungskosten: Bei familiären Zuwendungen regelmäßig keine Rückzahlungspflicht, wenn kein schriftlicher Vertrag vorliegt.</w:t>
      </w:r>
    </w:p>
    <w:p/>
    <w:p>
      <w:pPr>
        <w:pStyle w:val="Heading2"/>
      </w:pPr>
      <w:r>
        <w:rPr>
          <w:rFonts w:ascii="Times New Roman" w:hAnsi="Times New Roman"/>
        </w:rPr>
        <w:t>Status und Ausblick</w:t>
      </w:r>
    </w:p>
    <w:p>
      <w:pPr>
        <w:jc w:val="left"/>
      </w:pPr>
      <w:r>
        <w:t>Stand Juli 2026: Kein endgültiger Kompromiss. Vater leistet weiter monatlichen Beitrag (700 EUR). Annika bewirbt sich parallel um LL.M.-Stipendien (DAAD, Heinrich-Böll-Stiftung). Bei Stipendienerfolg wäre Konflikt entschärft.</w:t>
      </w:r>
    </w:p>
    <w:p>
      <w:pPr>
        <w:jc w:val="left"/>
      </w:pPr>
      <w:r>
        <w:t>Psychologische Auswirkung: Der Konflikt ist eine erhebliche emotionale Belastung während der Examensvorbereitung. Dr. Dueck und die Psychologische Studienberatung Bonn haben diesen Zusammenhang erkannt und in die Beratung einbezogen (Aktenstücke 11, 16).</w:t>
      </w:r>
    </w:p>
    <w:p/>
    <w:p>
      <w:pPr>
        <w:pStyle w:val="Heading2"/>
      </w:pPr>
      <w:r>
        <w:rPr>
          <w:rFonts w:ascii="Times New Roman" w:hAnsi="Times New Roman"/>
        </w:rPr>
        <w:t>Quellen</w:t>
      </w:r>
    </w:p>
    <w:p>
      <w:pPr>
        <w:pStyle w:val="ListBullet"/>
      </w:pPr>
      <w:r>
        <w:t xml:space="preserve">E-Mail Vater an Annika, 12.04.2026 (Anhang: </w:t>
      </w:r>
      <w:r>
        <w:t>emails/2026-04-12_vater_an_anika_praktikum_diskussion.eml</w:t>
      </w:r>
      <w:r>
        <w:t>)</w:t>
      </w:r>
    </w:p>
    <w:p>
      <w:pPr>
        <w:pStyle w:val="ListBullet"/>
      </w:pPr>
      <w:r>
        <w:t>§ 1610 BGB bei dejure.org (Maß des Unterhalts)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