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Schwerpunkthausarbeit: IPR-Gutachten, Prof. Dr. Witzleben</w:t>
      </w:r>
    </w:p>
    <w:p>
      <w:pPr>
        <w:jc w:val="left"/>
      </w:pPr>
      <w:r>
        <w:rPr>
          <w:b/>
        </w:rPr>
        <w:t>Bearbeiter:</w:t>
      </w:r>
      <w:r>
        <w:t xml:space="preserve"> Annika Roosendaal-Tinnefeld, Matrikel 2271084</w:t>
      </w:r>
    </w:p>
    <w:p>
      <w:pPr>
        <w:jc w:val="left"/>
      </w:pPr>
      <w:r>
        <w:rPr>
          <w:b/>
        </w:rPr>
        <w:t>Betreuer:</w:t>
      </w:r>
      <w:r>
        <w:t xml:space="preserve"> Prof. Dr. Friedrich Witzleben, Lehrstuhl IPR und Rechtsvergleichung, Uni Bonn</w:t>
      </w:r>
    </w:p>
    <w:p>
      <w:pPr>
        <w:jc w:val="left"/>
      </w:pPr>
      <w:r>
        <w:rPr>
          <w:b/>
        </w:rPr>
        <w:t>Abgabe:</w:t>
      </w:r>
      <w:r>
        <w:t xml:space="preserve"> 15.02.2026 (nach Verlängerung um 2 Wochen wegen Vorerkrankungszeichen)</w:t>
      </w:r>
    </w:p>
    <w:p>
      <w:pPr>
        <w:jc w:val="left"/>
      </w:pPr>
      <w:r>
        <w:rPr>
          <w:b/>
        </w:rPr>
        <w:t>Note:</w:t>
      </w:r>
      <w:r>
        <w:t xml:space="preserve"> 11 Punkte (vollbefriedigend)</w:t>
      </w:r>
    </w:p>
    <w:p>
      <w:pPr>
        <w:jc w:val="left"/>
      </w:pPr>
      <w:r>
        <w:rPr>
          <w:b/>
        </w:rPr>
        <w:t>Umfang:</w:t>
      </w:r>
      <w:r>
        <w:t xml:space="preserve"> 26 Seiten (ohne Deckblatt, Inhaltsverzeichnis, Literaturverzeichnis)</w:t>
      </w:r>
    </w:p>
    <w:p/>
    <w:p>
      <w:pPr>
        <w:pStyle w:val="Heading2"/>
      </w:pPr>
      <w:r>
        <w:rPr>
          <w:rFonts w:ascii="Times New Roman" w:hAnsi="Times New Roman"/>
        </w:rPr>
        <w:t>Thema</w:t>
      </w:r>
    </w:p>
    <w:p>
      <w:pPr>
        <w:jc w:val="left"/>
      </w:pPr>
      <w:r>
        <w:rPr>
          <w:b/>
        </w:rPr>
        <w:t>„Der qualifizierte Statutenwechsel im internationalen Vertragsrecht — Zur Koordination von Rom-I-VO Art. 3 Abs. 2 und Art. 4 Abs. 3 bei nachträglicher Rechtswahländerung und dem Schutz wohlerworbener Rechte Dritter"</w:t>
      </w:r>
    </w:p>
    <w:p>
      <w:pPr>
        <w:jc w:val="left"/>
      </w:pPr>
      <w:r>
        <w:t>Aufgegeben von Prof. Dr. Witzleben im Januar 2026. Themenklärungsgespräch: 14.02.2026 (E-Mail, Anhang).</w:t>
      </w:r>
    </w:p>
    <w:p/>
    <w:p>
      <w:pPr>
        <w:pStyle w:val="Heading2"/>
      </w:pPr>
      <w:r>
        <w:rPr>
          <w:rFonts w:ascii="Times New Roman" w:hAnsi="Times New Roman"/>
        </w:rPr>
        <w:t>Aufbau des Gutachtens</w:t>
      </w:r>
    </w:p>
    <w:p>
      <w:pPr>
        <w:jc w:val="left"/>
      </w:pPr>
      <w:r>
        <w:t>```</w:t>
      </w:r>
    </w:p>
    <w:p>
      <w:pPr>
        <w:jc w:val="left"/>
      </w:pPr>
      <w:r>
        <w:t>A. Einleitung</w:t>
      </w:r>
    </w:p>
    <w:p>
      <w:pPr>
        <w:jc w:val="left"/>
      </w:pPr>
      <w:r>
        <w:t>I.   Problemstellung</w:t>
      </w:r>
    </w:p>
    <w:p>
      <w:pPr>
        <w:jc w:val="left"/>
      </w:pPr>
      <w:r>
        <w:t>II.  Gang der Untersuchung</w:t>
      </w:r>
    </w:p>
    <w:p>
      <w:pPr>
        <w:jc w:val="left"/>
      </w:pPr>
      <w:r>
        <w:t>B. Kollisionsrechtliche Grundlagen</w:t>
      </w:r>
    </w:p>
    <w:p>
      <w:pPr>
        <w:jc w:val="left"/>
      </w:pPr>
      <w:r>
        <w:t>I.   Das Vertragsstatut nach der Rom-I-VO (VO (EG) Nr. 593/2008)</w:t>
      </w:r>
    </w:p>
    <w:p>
      <w:pPr>
        <w:pStyle w:val="ListNumber"/>
      </w:pPr>
      <w:r>
        <w:t>Rechtswahl nach Art. 3 Rom-I-VO</w:t>
      </w:r>
    </w:p>
    <w:p>
      <w:pPr>
        <w:pStyle w:val="ListNumber"/>
      </w:pPr>
      <w:r>
        <w:t>Hilfsanknüpfung nach Art. 4 Rom-I-VO</w:t>
      </w:r>
    </w:p>
    <w:p>
      <w:pPr>
        <w:pStyle w:val="ListNumber"/>
      </w:pPr>
      <w:r>
        <w:t>Verhältnis zu Art. 9 (Eingriffsnormen) und Art. 21 (ordre public)</w:t>
      </w:r>
    </w:p>
    <w:p>
      <w:pPr>
        <w:jc w:val="left"/>
      </w:pPr>
      <w:r>
        <w:t>II.  Begriff des Statutenwechsels</w:t>
      </w:r>
    </w:p>
    <w:p>
      <w:pPr>
        <w:pStyle w:val="ListNumber"/>
      </w:pPr>
      <w:r>
        <w:t>Einfacher Statutenwechsel</w:t>
      </w:r>
    </w:p>
    <w:p>
      <w:pPr>
        <w:pStyle w:val="ListNumber"/>
      </w:pPr>
      <w:r>
        <w:t>Qualifizierter (relevanzer) Statutenwechsel</w:t>
      </w:r>
    </w:p>
    <w:p>
      <w:pPr>
        <w:jc w:val="left"/>
      </w:pPr>
      <w:r>
        <w:t>III. Der besondere Fall: Art. 3 Abs. 2 Rom-I-VO (nachträgliche Rechtswahl)</w:t>
      </w:r>
    </w:p>
    <w:p>
      <w:pPr>
        <w:jc w:val="left"/>
      </w:pPr>
      <w:r>
        <w:t>C. Auswirkungen des qualifizierten Statutenwechsels</w:t>
      </w:r>
    </w:p>
    <w:p>
      <w:pPr>
        <w:jc w:val="left"/>
      </w:pPr>
      <w:r>
        <w:t>I.   Wirkung auf bestehende Vertragspflichten</w:t>
      </w:r>
    </w:p>
    <w:p>
      <w:pPr>
        <w:jc w:val="left"/>
      </w:pPr>
      <w:r>
        <w:t>II.  Schutz wohlerworbener Rechte Dritter, Art. 3 Abs. 2 S. 2 Rom-I-VO</w:t>
      </w:r>
    </w:p>
    <w:p>
      <w:pPr>
        <w:pStyle w:val="ListNumber"/>
      </w:pPr>
      <w:r>
        <w:t>Begriff der wohlerworbenen Rechte</w:t>
      </w:r>
    </w:p>
    <w:p>
      <w:pPr>
        <w:pStyle w:val="ListNumber"/>
      </w:pPr>
      <w:r>
        <w:t>Drittschutz bei Abtretung, Sicherungsübereignung</w:t>
      </w:r>
    </w:p>
    <w:p>
      <w:pPr>
        <w:pStyle w:val="ListNumber"/>
      </w:pPr>
      <w:r>
        <w:t>Vergleich mit EGBGB-Regime (vor Rom-I)</w:t>
      </w:r>
    </w:p>
    <w:p>
      <w:pPr>
        <w:jc w:val="left"/>
      </w:pPr>
      <w:r>
        <w:t>III. Koordination mit Art. 4 Abs. 3 Rom-I-VO (Ausweichklausel)</w:t>
      </w:r>
    </w:p>
    <w:p>
      <w:pPr>
        <w:pStyle w:val="ListNumber"/>
      </w:pPr>
      <w:r>
        <w:t>Spannungsverhältnis zur Rechtswahl</w:t>
      </w:r>
    </w:p>
    <w:p>
      <w:pPr>
        <w:pStyle w:val="ListNumber"/>
      </w:pPr>
      <w:r>
        <w:t>Ausnahmecharakter der Ausweichklausel (BGH und EuGH)</w:t>
      </w:r>
    </w:p>
    <w:p>
      <w:pPr>
        <w:jc w:val="left"/>
      </w:pPr>
      <w:r>
        <w:t>D. Fallgruppen und praktische Beispiele</w:t>
      </w:r>
    </w:p>
    <w:p>
      <w:pPr>
        <w:jc w:val="left"/>
      </w:pPr>
      <w:r>
        <w:t>I.   Internationaler Warenkauf mit nachträglicher Rechtswahlklausel</w:t>
      </w:r>
    </w:p>
    <w:p>
      <w:pPr>
        <w:jc w:val="left"/>
      </w:pPr>
      <w:r>
        <w:t>II.  Sicherungsübereignung und Statutenwechsel nach Art. 43 EGBGB</w:t>
      </w:r>
    </w:p>
    <w:p>
      <w:pPr>
        <w:jc w:val="left"/>
      </w:pPr>
      <w:r>
        <w:t>III. Arbeitsvertrag mit nachträglicher Rechtswahl (Art. 8 Rom-I-VO)</w:t>
      </w:r>
    </w:p>
    <w:p>
      <w:pPr>
        <w:jc w:val="left"/>
      </w:pPr>
      <w:r>
        <w:t>E. Stellungnahme und Ergebnis</w:t>
      </w:r>
    </w:p>
    <w:p>
      <w:pPr>
        <w:jc w:val="left"/>
      </w:pPr>
      <w:r>
        <w:t>I.   Kritik an der Drittschutzregelung des Art. 3 Abs. 2 S. 2 Rom-I-VO</w:t>
      </w:r>
    </w:p>
    <w:p>
      <w:pPr>
        <w:jc w:val="left"/>
      </w:pPr>
      <w:r>
        <w:t>II.  De lege ferenda: Harmonisierungsvorschläge</w:t>
      </w:r>
    </w:p>
    <w:p>
      <w:pPr>
        <w:jc w:val="left"/>
      </w:pPr>
      <w:r>
        <w:t>F. Zusammenfassung der Ergebnisse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Zentrale Thesen</w:t>
      </w:r>
    </w:p>
    <w:p>
      <w:pPr>
        <w:pStyle w:val="ListNumber"/>
      </w:pPr>
      <w:r>
        <w:t>Art. 3 Abs. 2 S. 2 Rom-I-VO schützt wohlerworbene Rechte Dritter bei nachträglicher Rechtswahlände­rung — dieser Schutz ist jedoch inhaltlich unbestimmt und lässt Auslegungsfragen offen.</w:t>
      </w:r>
    </w:p>
    <w:p>
      <w:pPr>
        <w:pStyle w:val="ListNumber"/>
      </w:pPr>
      <w:r>
        <w:t>Die Ausweichklausel des Art. 4 Abs. 3 Rom-I-VO kann nicht herangezogen werden, um eine einmal getroffene nachträgliche Rechtswahl zu korrigieren; sie ist auf die ursprüngliche Anknüpfungsphase beschränkt.</w:t>
      </w:r>
    </w:p>
    <w:p>
      <w:pPr>
        <w:pStyle w:val="ListNumber"/>
      </w:pPr>
      <w:r>
        <w:t>Der Begriff „wohlerworbene Rechte" (droits acquis) ist europäisch-autonom auszulegen; ein Rückgriff auf das deutsche Konzept der „rechtlich gesicherten Position" (§ 823 Abs. 1 BGB) ist abzulehnen.</w:t>
      </w:r>
    </w:p>
    <w:p/>
    <w:p>
      <w:pPr>
        <w:pStyle w:val="Heading2"/>
      </w:pPr>
      <w:r>
        <w:rPr>
          <w:rFonts w:ascii="Times New Roman" w:hAnsi="Times New Roman"/>
        </w:rPr>
        <w:t>Korrekturbemerkungen Prof. Dr. Witzleben (Auszug)</w:t>
      </w:r>
    </w:p>
    <w:p>
      <w:pPr>
        <w:pStyle w:val="ListBullet"/>
      </w:pPr>
      <w:r>
        <w:t>Problematik überzeugend entwickelt, eigenständige Argumentation erkennbar.</w:t>
      </w:r>
    </w:p>
    <w:p>
      <w:pPr>
        <w:pStyle w:val="ListBullet"/>
      </w:pPr>
      <w:r>
        <w:t>Abschnitt C.II. zu kurz; neuere EuGH-Rechtsprechung (EuGH, Rs. C-135/15, Nikiforidis) nicht berücksichtigt.</w:t>
      </w:r>
    </w:p>
    <w:p>
      <w:pPr>
        <w:pStyle w:val="ListBullet"/>
      </w:pPr>
      <w:r>
        <w:t>Literaturverzeichnis vollständig; Zitierweise einheitlich (Fn. System).</w:t>
      </w:r>
    </w:p>
    <w:p>
      <w:pPr>
        <w:pStyle w:val="ListBullet"/>
      </w:pPr>
      <w:r>
        <w:t>Sprachlich flüssig, juristischer Stil gewahrt.</w:t>
      </w:r>
    </w:p>
    <w:p>
      <w:pPr>
        <w:pStyle w:val="ListBullet"/>
      </w:pPr>
      <w:r>
        <w:t>Note: 11 Punkte — vollbefriedigend.</w:t>
      </w:r>
    </w:p>
    <w:p/>
    <w:p>
      <w:pPr>
        <w:pStyle w:val="Heading2"/>
      </w:pPr>
      <w:r>
        <w:rPr>
          <w:rFonts w:ascii="Times New Roman" w:hAnsi="Times New Roman"/>
        </w:rPr>
        <w:t>Lernwert für Examen</w:t>
      </w:r>
    </w:p>
    <w:p>
      <w:pPr>
        <w:jc w:val="left"/>
      </w:pPr>
      <w:r>
        <w:t>Für das mündliche Examen in der Schwerpunktprüfung sollte Annika folgende Aspekte vertiefen:</w:t>
      </w:r>
    </w:p>
    <w:p>
      <w:pPr>
        <w:pStyle w:val="ListBullet"/>
      </w:pPr>
      <w:r>
        <w:t>EuGH Rs. C-135/15 (Nikiforidis, 18.10.2016) zu Eingriffsnormen Art. 9 Abs. 3 Rom-I-VO.</w:t>
      </w:r>
    </w:p>
    <w:p>
      <w:pPr>
        <w:pStyle w:val="ListBullet"/>
      </w:pPr>
      <w:r>
        <w:t>BGH Urteil 26.10.1993, XI ZR 42/93 — Eingriffsnormen im IPR.</w:t>
      </w:r>
    </w:p>
    <w:p>
      <w:pPr>
        <w:pStyle w:val="ListBullet"/>
      </w:pPr>
      <w:r>
        <w:t>Neuere Literatur: MüKo BGB / IPR-Kommentar (Martiny), Art. 3 Rom-I-VO.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EGBGB Art. 3–4 bei dejure.org</w:t>
      </w:r>
    </w:p>
    <w:p>
      <w:pPr>
        <w:pStyle w:val="ListBullet"/>
      </w:pPr>
      <w:r>
        <w:t>Rom-I-VO Art. 3 Abs. 2, Art. 4 Abs. 3 — EUR-Lex</w:t>
      </w:r>
    </w:p>
    <w:p>
      <w:pPr>
        <w:pStyle w:val="ListBullet"/>
      </w:pPr>
      <w:r>
        <w:t>EuGH Rs. C-135/15, Nikiforidis, ECLI:EU:C:2016:774</w:t>
      </w:r>
    </w:p>
    <w:p>
      <w:pPr>
        <w:pStyle w:val="ListBullet"/>
      </w:pPr>
      <w:r>
        <w:t xml:space="preserve">E-Mail Hausarbeitsthema: </w:t>
      </w:r>
      <w:r>
        <w:t>emails/2026-02-14_roosendaal_an_witzleben_hausarbeitsthema.eml</w:t>
      </w:r>
    </w:p>
    <w:p>
      <w:pPr>
        <w:pStyle w:val="ListBullet"/>
      </w:pPr>
      <w:r>
        <w:t xml:space="preserve">Vollständige Hausarbeit: </w:t>
      </w:r>
      <w:r>
        <w:t>docx/ipr_hausarbeit_witzleben_v3_endfassung.docx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