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17 — Methodenlehre und juristische Arbeitstechnik</w:t>
      </w:r>
    </w:p>
    <w:p>
      <w:pPr>
        <w:jc w:val="left"/>
      </w:pPr>
      <w:r>
        <w:rPr>
          <w:b/>
        </w:rPr>
        <w:t>Kontext:</w:t>
      </w:r>
      <w:r>
        <w:t xml:space="preserve"> Grundlagenmodul Examensbegleitung Roosendaal-Tinnefeld; methodische Grundlagen für Klausur und Hausarbeit.</w:t>
      </w:r>
    </w:p>
    <w:p/>
    <w:p>
      <w:pPr>
        <w:pStyle w:val="Heading2"/>
      </w:pPr>
      <w:r>
        <w:rPr>
          <w:rFonts w:ascii="Times New Roman" w:hAnsi="Times New Roman"/>
        </w:rPr>
        <w:t>Juristische Auslegungsmethoden</w:t>
      </w:r>
    </w:p>
    <w:p>
      <w:pPr>
        <w:jc w:val="left"/>
      </w:pPr>
      <w:r>
        <w:t>Vier klassische Auslegungsmethoden nach Savigny; in der Klausur stets in der richtigen Reihenfolge einzusetzen: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Methode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Beispiel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Grammatikalische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Wortlaut der Norm (möglicher Wortsinn als Grenze)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„Sache" in § 90 BGB: nur körperliche Gegenstände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Systematische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 im Gesetz, Zusammenhang mit anderen Normen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242 BGB als Grundsatznorm, § 241 Abs. 2 BGB als Konkretisierung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Historische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Wille des historischen Gesetzgebers (Motive, BT-Drucksachen)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Reformgesetz 2002 BGB: Schuldrechtsmodernisierung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Teleologische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Sinn und Zweck der Norm (objektiver Gesetzeszweck)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433 Abs. 1 S. 2 BGB: Eigentumsübertragung als Hauptpflicht</w:t>
            </w:r>
          </w:p>
        </w:tc>
      </w:tr>
    </w:tbl>
    <w:p>
      <w:pPr>
        <w:jc w:val="left"/>
      </w:pPr>
      <w:r>
        <w:rPr>
          <w:b/>
        </w:rPr>
        <w:t>Im Examen:</w:t>
      </w:r>
      <w:r>
        <w:t xml:space="preserve"> Auslegungsargumente immer mit dem Ergebnis verknüpfen: „Die grammatikalische Auslegung ergibt …, die teleologische Auslegung spricht dafür/dagegen …"</w:t>
      </w:r>
    </w:p>
    <w:p/>
    <w:p>
      <w:pPr>
        <w:pStyle w:val="Heading2"/>
      </w:pPr>
      <w:r>
        <w:rPr>
          <w:rFonts w:ascii="Times New Roman" w:hAnsi="Times New Roman"/>
        </w:rPr>
        <w:t>Normhierarchie und Kollision</w:t>
      </w:r>
    </w:p>
    <w:p>
      <w:pPr>
        <w:jc w:val="left"/>
      </w:pPr>
      <w:r>
        <w:t>```</w:t>
      </w:r>
    </w:p>
    <w:p>
      <w:pPr>
        <w:jc w:val="left"/>
      </w:pPr>
      <w:r>
        <w:t>Verfassung (GG)</w:t>
      </w:r>
    </w:p>
    <w:p>
      <w:pPr>
        <w:jc w:val="left"/>
      </w:pPr>
      <w:r>
        <w:t>│</w:t>
      </w:r>
    </w:p>
    <w:p>
      <w:pPr>
        <w:jc w:val="left"/>
      </w:pPr>
      <w:r>
        <w:t>Bundesrecht (formelles Gesetz: BGB, StGB, ZPO)</w:t>
      </w:r>
    </w:p>
    <w:p>
      <w:pPr>
        <w:jc w:val="left"/>
      </w:pPr>
      <w:r>
        <w:t>│</w:t>
      </w:r>
    </w:p>
    <w:p>
      <w:pPr>
        <w:jc w:val="left"/>
      </w:pPr>
      <w:r>
        <w:t>Landesrecht (JAG NRW, PolG NRW)</w:t>
      </w:r>
    </w:p>
    <w:p>
      <w:pPr>
        <w:jc w:val="left"/>
      </w:pPr>
      <w:r>
        <w:t>│</w:t>
      </w:r>
    </w:p>
    <w:p>
      <w:pPr>
        <w:jc w:val="left"/>
      </w:pPr>
      <w:r>
        <w:t>Rechtsverordnung (BGB-InfoV, DSGVO als EU-VO unmittelbar)</w:t>
      </w:r>
    </w:p>
    <w:p>
      <w:pPr>
        <w:jc w:val="left"/>
      </w:pPr>
      <w:r>
        <w:t>│</w:t>
      </w:r>
    </w:p>
    <w:p>
      <w:pPr>
        <w:jc w:val="left"/>
      </w:pPr>
      <w:r>
        <w:t>Satzung (Gemeindesatzung, Hochschulsatzung)</w:t>
      </w:r>
    </w:p>
    <w:p>
      <w:pPr>
        <w:jc w:val="left"/>
      </w:pPr>
      <w:r>
        <w:t>│</w:t>
      </w:r>
    </w:p>
    <w:p>
      <w:pPr>
        <w:jc w:val="left"/>
      </w:pPr>
      <w:r>
        <w:t>Vertrag (privatrechtlich) / Verwaltungsakt (öffentlich-rechtlich)</w:t>
      </w:r>
    </w:p>
    <w:p>
      <w:pPr>
        <w:jc w:val="left"/>
      </w:pPr>
      <w:r>
        <w:t>```</w:t>
      </w:r>
    </w:p>
    <w:p>
      <w:pPr>
        <w:jc w:val="left"/>
      </w:pPr>
      <w:r>
        <w:t>Grundsatz: höherrangiges Recht bricht niedrigrangiges (lex superior). EU-Recht Vorrang vor nationalem Recht (EuGH, Costa v. ENEL, 1964).</w:t>
      </w:r>
    </w:p>
    <w:p/>
    <w:p>
      <w:pPr>
        <w:pStyle w:val="Heading2"/>
      </w:pPr>
      <w:r>
        <w:rPr>
          <w:rFonts w:ascii="Times New Roman" w:hAnsi="Times New Roman"/>
        </w:rPr>
        <w:t>Gutachtenstil vs. Urteilsstil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Gutachtenstil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Urteilsstil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Einsatz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Klausur, Hausarbeit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Urteil, Votum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Einstieg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„könnte … haben" (Obersatz)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„hat … einen Anspruch" (Feststellung)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Struktur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Hypothese → Prüfung → 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 → Begründung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Examen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nur bei unstreitigen Punkten</w:t>
            </w:r>
          </w:p>
        </w:tc>
      </w:tr>
    </w:tbl>
    <w:p>
      <w:pPr>
        <w:jc w:val="left"/>
      </w:pPr>
      <w:r>
        <w:t>Bei unstreitigen, offensichtlichen Prüfungspunkten kann im Gutachtenstil auch urteilsstilartig schnell vorgegangen werden: „Die Parteien haben einen Kaufvertrag geschlossen (§ 433 BGB); dies ist unstreitig."</w:t>
      </w:r>
    </w:p>
    <w:p/>
    <w:p>
      <w:pPr>
        <w:pStyle w:val="Heading2"/>
      </w:pPr>
      <w:r>
        <w:rPr>
          <w:rFonts w:ascii="Times New Roman" w:hAnsi="Times New Roman"/>
        </w:rPr>
        <w:t>Relationstechnik (für mündliche Prüfung)</w:t>
      </w:r>
    </w:p>
    <w:p>
      <w:pPr>
        <w:jc w:val="left"/>
      </w:pPr>
      <w:r>
        <w:t>Die Relationstechnik beschreibt den Aufbau einer juristischen Prüfung vom Sachverhalt zur Rechtsfolge:</w:t>
      </w:r>
    </w:p>
    <w:p>
      <w:pPr>
        <w:pStyle w:val="ListNumber"/>
      </w:pPr>
      <w:r>
        <w:rPr>
          <w:b/>
        </w:rPr>
        <w:t>Prozessrechtliche Prüfung</w:t>
      </w:r>
      <w:r>
        <w:t xml:space="preserve"> (Zulässigkeit)</w:t>
      </w:r>
    </w:p>
    <w:p>
      <w:pPr>
        <w:pStyle w:val="ListNumber"/>
      </w:pPr>
      <w:r>
        <w:rPr>
          <w:b/>
        </w:rPr>
        <w:t>Sachverhaltserfassung</w:t>
      </w:r>
      <w:r>
        <w:t xml:space="preserve"> (Parteien, Ansprüche, Chronologie)</w:t>
      </w:r>
    </w:p>
    <w:p>
      <w:pPr>
        <w:pStyle w:val="ListNumber"/>
      </w:pPr>
      <w:r>
        <w:rPr>
          <w:b/>
        </w:rPr>
        <w:t>Anspruchsgrundlagen</w:t>
      </w:r>
      <w:r>
        <w:t xml:space="preserve"> (Prüfungsreihenfolge)</w:t>
      </w:r>
    </w:p>
    <w:p>
      <w:pPr>
        <w:pStyle w:val="ListNumber"/>
      </w:pPr>
      <w:r>
        <w:rPr>
          <w:b/>
        </w:rPr>
        <w:t>Subsumtion</w:t>
      </w:r>
      <w:r>
        <w:t xml:space="preserve"> (Tatbestandsmerkmale)</w:t>
      </w:r>
    </w:p>
    <w:p>
      <w:pPr>
        <w:pStyle w:val="ListNumber"/>
      </w:pPr>
      <w:r>
        <w:rPr>
          <w:b/>
        </w:rPr>
        <w:t>Rechtsfolgen</w:t>
      </w:r>
      <w:r>
        <w:t xml:space="preserve"> (Anspruchshöhe, Vollstreckung)</w:t>
      </w:r>
    </w:p>
    <w:p>
      <w:pPr>
        <w:jc w:val="left"/>
      </w:pPr>
      <w:r>
        <w:t>Im 1. Staatsexamen kommt die Relationstechnik in der mündlichen Prüfung und in der praktischen Klausur (Klausur 5) vor.</w:t>
      </w:r>
    </w:p>
    <w:p/>
    <w:p>
      <w:pPr>
        <w:pStyle w:val="Heading2"/>
      </w:pPr>
      <w:r>
        <w:rPr>
          <w:rFonts w:ascii="Times New Roman" w:hAnsi="Times New Roman"/>
        </w:rPr>
        <w:t>Zitierregeln in der Hausarbeit</w:t>
      </w:r>
    </w:p>
    <w:p>
      <w:pPr>
        <w:jc w:val="left"/>
      </w:pPr>
      <w:r>
        <w:t>Einheitlicher Fußnotenzitierstil:</w:t>
      </w:r>
    </w:p>
    <w:p>
      <w:pPr>
        <w:jc w:val="left"/>
      </w:pPr>
      <w:r>
        <w:rPr>
          <w:b/>
        </w:rPr>
        <w:t>Monografien:</w:t>
      </w:r>
      <w:r>
        <w:t xml:space="preserve"> Autor, Titel, Aufl. Jahr, Seite. Beispiel: Palandt/Grüneberg, BGB-Kommentar, 82. Aufl. 2023, § 280 Rn. 12.</w:t>
      </w:r>
    </w:p>
    <w:p>
      <w:pPr>
        <w:jc w:val="left"/>
      </w:pPr>
      <w:r>
        <w:rPr>
          <w:b/>
        </w:rPr>
        <w:t>Aufsätze:</w:t>
      </w:r>
      <w:r>
        <w:t xml:space="preserve"> Autor, Titel, Zeitschrift Jahrgang (Jahr), Seite. Beispiel: Müller, Zum Begriff der Eingriffsnorm, NJW 2022, 1234 (1236).</w:t>
      </w:r>
    </w:p>
    <w:p>
      <w:pPr>
        <w:jc w:val="left"/>
      </w:pPr>
      <w:r>
        <w:rPr>
          <w:b/>
        </w:rPr>
        <w:t>Gerichtsentscheidungen:</w:t>
      </w:r>
      <w:r>
        <w:t xml:space="preserve"> BGH, Urteil v. 15.03.2022 – VIII ZR 220/21, NJW 2022, 2345. Bei dejure.org: BGH, Urteil 15.03.2022.</w:t>
      </w:r>
    </w:p>
    <w:p>
      <w:pPr>
        <w:jc w:val="left"/>
      </w:pPr>
      <w:r>
        <w:rPr>
          <w:b/>
        </w:rPr>
        <w:t>EU-Recht:</w:t>
      </w:r>
      <w:r>
        <w:t xml:space="preserve"> VO (EG) Nr. 593/2008, Erwägungsgrund 14; Art. 3 Abs. 2 S. 1 Rom-I-VO.</w:t>
      </w:r>
    </w:p>
    <w:p/>
    <w:p>
      <w:pPr>
        <w:pStyle w:val="Heading2"/>
      </w:pPr>
      <w:r>
        <w:rPr>
          <w:rFonts w:ascii="Times New Roman" w:hAnsi="Times New Roman"/>
        </w:rPr>
        <w:t>Juristische Argumentation</w:t>
      </w:r>
    </w:p>
    <w:p>
      <w:pPr>
        <w:jc w:val="left"/>
      </w:pPr>
      <w:r>
        <w:t>Gute Klausurargumentationen folgen einem dreigliedrigen Muster:</w:t>
      </w:r>
    </w:p>
    <w:p>
      <w:pPr>
        <w:pStyle w:val="ListNumber"/>
      </w:pPr>
      <w:r>
        <w:rPr>
          <w:b/>
        </w:rPr>
        <w:t>Behauptung:</w:t>
      </w:r>
      <w:r>
        <w:t xml:space="preserve"> „Dies spricht für die Anwendung des deutschen Rechts."</w:t>
      </w:r>
    </w:p>
    <w:p>
      <w:pPr>
        <w:pStyle w:val="ListNumber"/>
      </w:pPr>
      <w:r>
        <w:rPr>
          <w:b/>
        </w:rPr>
        <w:t>Begründung:</w:t>
      </w:r>
      <w:r>
        <w:t xml:space="preserve"> „Denn die Parteien haben ihren gewöhnlichen Aufenthalt in Deutschland; das Vertragsstatut folgt nach Art. 4 Abs. 1 lit. a Rom-I-VO dem Verkäuferrecht."</w:t>
      </w:r>
    </w:p>
    <w:p>
      <w:pPr>
        <w:pStyle w:val="ListNumber"/>
      </w:pPr>
      <w:r>
        <w:rPr>
          <w:b/>
        </w:rPr>
        <w:t>Schluss:</w:t>
      </w:r>
      <w:r>
        <w:t xml:space="preserve"> „Das anwendbare Recht ist daher deutsches BGB-Kaufrecht."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90 BGB bei dejure.org (Begriff der Sache)</w:t>
      </w:r>
    </w:p>
    <w:p>
      <w:pPr>
        <w:pStyle w:val="ListBullet"/>
      </w:pPr>
      <w:r>
        <w:t>§ 242 BGB bei dejure.org (Treu und Glauben)</w:t>
      </w:r>
    </w:p>
    <w:p>
      <w:pPr>
        <w:pStyle w:val="ListBullet"/>
      </w:pPr>
      <w:r>
        <w:t>EuGH, Rs. 6/64, Costa v. ENEL (1964), ECLI:EU:C:1964:66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