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Aktuelle Rechtsprechung BGH und OLG: Klausurrelevante Entscheidungen</w:t>
      </w:r>
    </w:p>
    <w:p>
      <w:pPr>
        <w:jc w:val="left"/>
      </w:pPr>
      <w:r>
        <w:rPr>
          <w:b/>
        </w:rPr>
        <w:t>Kontext:</w:t>
      </w:r>
      <w:r>
        <w:t xml:space="preserve"> Examensbegleitung Roosendaal-Tinnefeld; Stand Juli 2026. Auswahl klausurrelevanter Entscheidungen für das Frühjahr 2027.</w:t>
      </w:r>
    </w:p>
    <w:p/>
    <w:p>
      <w:pPr>
        <w:pStyle w:val="Heading2"/>
      </w:pPr>
      <w:r>
        <w:rPr>
          <w:rFonts w:ascii="Times New Roman" w:hAnsi="Times New Roman"/>
        </w:rPr>
        <w:t>BGB — Ausgewählte BGH-Entscheidungen</w:t>
      </w:r>
    </w:p>
    <w:p>
      <w:pPr>
        <w:pStyle w:val="Heading3"/>
      </w:pPr>
      <w:r>
        <w:rPr>
          <w:rFonts w:ascii="Times New Roman" w:hAnsi="Times New Roman"/>
        </w:rPr>
        <w:t>Kaufrecht / Sachmangel (§ 434 BGB n.F.)</w:t>
      </w:r>
    </w:p>
    <w:p>
      <w:pPr>
        <w:jc w:val="left"/>
      </w:pPr>
      <w:r>
        <w:rPr>
          <w:b/>
        </w:rPr>
        <w:t>BGH, Urteil 26.01.2022 — VIII ZR 149/21</w:t>
      </w:r>
      <w:r>
        <w:t xml:space="preserve"> (NJW 2022, 1226)</w:t>
      </w:r>
    </w:p>
    <w:p>
      <w:pPr>
        <w:jc w:val="left"/>
      </w:pPr>
      <w:r>
        <w:t>Thema: Sachmangelbegriff nach der Schuldrechtsreform 2021/2022 (Umsetzung Warenkauf-RL); subjektiver Mangelbegriff; Abgrenzung Beschaffenheitsvereinbarung zu bloßer Eigenschaftsbeschreibung.</w:t>
      </w:r>
    </w:p>
    <w:p>
      <w:pPr>
        <w:jc w:val="left"/>
      </w:pPr>
      <w:r>
        <w:t>Klausurrelevanz: Sehr hoch (BGB-Klausur I und II).</w:t>
      </w:r>
    </w:p>
    <w:p>
      <w:pPr>
        <w:jc w:val="left"/>
      </w:pPr>
      <w:r>
        <w:t>Quelle: bundesgerichtshof.de</w:t>
      </w:r>
    </w:p>
    <w:p>
      <w:pPr>
        <w:pStyle w:val="Heading3"/>
      </w:pPr>
      <w:r>
        <w:rPr>
          <w:rFonts w:ascii="Times New Roman" w:hAnsi="Times New Roman"/>
        </w:rPr>
        <w:t>Leistungsstörungsrecht (§ 280 BGB)</w:t>
      </w:r>
    </w:p>
    <w:p>
      <w:pPr>
        <w:jc w:val="left"/>
      </w:pPr>
      <w:r>
        <w:rPr>
          <w:b/>
        </w:rPr>
        <w:t>BGH, Urteil 23.06.2021 — VIII ZR 254/20</w:t>
      </w:r>
      <w:r>
        <w:t xml:space="preserve"> (NJW 2021, 2962)</w:t>
      </w:r>
    </w:p>
    <w:p>
      <w:pPr>
        <w:jc w:val="left"/>
      </w:pPr>
      <w:r>
        <w:t>Thema: Verzögerungsschaden nach § 280 Abs. 1, 2 i.V.m. § 286 BGB; keine Mahnung bei Termingeschäft (§ 286 Abs. 2 Nr. 2 BGB); Schadensminderungspflicht.</w:t>
      </w:r>
    </w:p>
    <w:p>
      <w:pPr>
        <w:jc w:val="left"/>
      </w:pPr>
      <w:r>
        <w:t>Klausurrelevanz: Hoch.</w:t>
      </w:r>
    </w:p>
    <w:p>
      <w:pPr>
        <w:jc w:val="left"/>
      </w:pPr>
      <w:r>
        <w:t>Quelle: bundesgerichtshof.de</w:t>
      </w:r>
    </w:p>
    <w:p>
      <w:pPr>
        <w:pStyle w:val="Heading3"/>
      </w:pPr>
      <w:r>
        <w:rPr>
          <w:rFonts w:ascii="Times New Roman" w:hAnsi="Times New Roman"/>
        </w:rPr>
        <w:t>Bereicherungsrecht (§§ 812 ff. BGB)</w:t>
      </w:r>
    </w:p>
    <w:p>
      <w:pPr>
        <w:jc w:val="left"/>
      </w:pPr>
      <w:r>
        <w:rPr>
          <w:b/>
        </w:rPr>
        <w:t>BGH, Urteil 28.10.2020 — XII ZR 133/19</w:t>
      </w:r>
      <w:r>
        <w:t xml:space="preserve"> (NJW 2021, 385)</w:t>
      </w:r>
    </w:p>
    <w:p>
      <w:pPr>
        <w:jc w:val="left"/>
      </w:pPr>
      <w:r>
        <w:t>Thema: Leistungskondiktion im Dreipersonenverhältnis; Tilgungsbestimmung; Umfang des Bereicherungsanspruchs bei formnichtiger Übertragung.</w:t>
      </w:r>
    </w:p>
    <w:p>
      <w:pPr>
        <w:jc w:val="left"/>
      </w:pPr>
      <w:r>
        <w:t>Klausurrelevanz: Mittel bis hoch (BGB-Klausur II).</w:t>
      </w:r>
    </w:p>
    <w:p>
      <w:pPr>
        <w:jc w:val="left"/>
      </w:pPr>
      <w:r>
        <w:t>Quelle: bundesgerichtshof.de</w:t>
      </w:r>
    </w:p>
    <w:p>
      <w:pPr>
        <w:pStyle w:val="Heading3"/>
      </w:pPr>
      <w:r>
        <w:rPr>
          <w:rFonts w:ascii="Times New Roman" w:hAnsi="Times New Roman"/>
        </w:rPr>
        <w:t>Deliktsrecht (§ 823 BGB)</w:t>
      </w:r>
    </w:p>
    <w:p>
      <w:pPr>
        <w:jc w:val="left"/>
      </w:pPr>
      <w:r>
        <w:rPr>
          <w:b/>
        </w:rPr>
        <w:t>BGH, Urteil 30.07.2020 — VI ZR 5/20</w:t>
      </w:r>
      <w:r>
        <w:t xml:space="preserve"> (NJW 2020, 2884)</w:t>
      </w:r>
    </w:p>
    <w:p>
      <w:pPr>
        <w:jc w:val="left"/>
      </w:pPr>
      <w:r>
        <w:t>Thema: Persönlichkeitsrechtsverletzung durch Internetveröffentlichungen; § 823 Abs. 1 BGB i.V.m. Art. 2 Abs. 1, Art. 1 Abs. 1 GG; immaterieller Schadensersatz.</w:t>
      </w:r>
    </w:p>
    <w:p>
      <w:pPr>
        <w:jc w:val="left"/>
      </w:pPr>
      <w:r>
        <w:t>Klausurrelevanz: Mittel (zunehmend in ÖR-/BGB-Verbundklausuren).</w:t>
      </w:r>
    </w:p>
    <w:p>
      <w:pPr>
        <w:jc w:val="left"/>
      </w:pPr>
      <w:r>
        <w:t>Quelle: bundesgerichtshof.de</w:t>
      </w:r>
    </w:p>
    <w:p/>
    <w:p>
      <w:pPr>
        <w:pStyle w:val="Heading2"/>
      </w:pPr>
      <w:r>
        <w:rPr>
          <w:rFonts w:ascii="Times New Roman" w:hAnsi="Times New Roman"/>
        </w:rPr>
        <w:t>Strafrecht — Ausgewählte BGH-Entscheidungen</w:t>
      </w:r>
    </w:p>
    <w:p>
      <w:pPr>
        <w:pStyle w:val="Heading3"/>
      </w:pPr>
      <w:r>
        <w:rPr>
          <w:rFonts w:ascii="Times New Roman" w:hAnsi="Times New Roman"/>
        </w:rPr>
        <w:t>Untreue (§ 266 StGB)</w:t>
      </w:r>
    </w:p>
    <w:p>
      <w:pPr>
        <w:jc w:val="left"/>
      </w:pPr>
      <w:r>
        <w:rPr>
          <w:b/>
        </w:rPr>
        <w:t>BGH, Urteil 09.11.2016 — 5 StR 313/15</w:t>
      </w:r>
      <w:r>
        <w:t xml:space="preserve"> (BGHSt 61, 285)</w:t>
      </w:r>
    </w:p>
    <w:p>
      <w:pPr>
        <w:jc w:val="left"/>
      </w:pPr>
      <w:r>
        <w:t>Thema: Vermögensnachteil bei § 266 StGB; Schwarzkassenfälle; konkrete Vermögensgefährdung als Nachteil.</w:t>
      </w:r>
    </w:p>
    <w:p>
      <w:pPr>
        <w:jc w:val="left"/>
      </w:pPr>
      <w:r>
        <w:t>Klausurrelevanz: Hoch (StR BT-Klausur).</w:t>
      </w:r>
    </w:p>
    <w:p>
      <w:pPr>
        <w:jc w:val="left"/>
      </w:pPr>
      <w:r>
        <w:t>Quelle: bundesgerichtshof.de / openjur.de</w:t>
      </w:r>
    </w:p>
    <w:p>
      <w:pPr>
        <w:pStyle w:val="Heading3"/>
      </w:pPr>
      <w:r>
        <w:rPr>
          <w:rFonts w:ascii="Times New Roman" w:hAnsi="Times New Roman"/>
        </w:rPr>
        <w:t>Betrug (§ 263 StGB)</w:t>
      </w:r>
    </w:p>
    <w:p>
      <w:pPr>
        <w:jc w:val="left"/>
      </w:pPr>
      <w:r>
        <w:rPr>
          <w:b/>
        </w:rPr>
        <w:t>BGH, Urteil 27.03.2014 — 3 StR 342/13</w:t>
      </w:r>
      <w:r>
        <w:t xml:space="preserve"> (BGHSt 59, 195)</w:t>
      </w:r>
    </w:p>
    <w:p>
      <w:pPr>
        <w:jc w:val="left"/>
      </w:pPr>
      <w:r>
        <w:t>Thema: Dreiecksbetrug vs. Diebstahl in mittelbarer Täterschaft; Lagertheorie; Verfügungsmacht.</w:t>
      </w:r>
    </w:p>
    <w:p>
      <w:pPr>
        <w:jc w:val="left"/>
      </w:pPr>
      <w:r>
        <w:t>Klausurrelevanz: Sehr hoch (Standardexamensthema).</w:t>
      </w:r>
    </w:p>
    <w:p>
      <w:pPr>
        <w:jc w:val="left"/>
      </w:pPr>
      <w:r>
        <w:t>Quelle: openjur.de</w:t>
      </w:r>
    </w:p>
    <w:p>
      <w:pPr>
        <w:pStyle w:val="Heading3"/>
      </w:pPr>
      <w:r>
        <w:rPr>
          <w:rFonts w:ascii="Times New Roman" w:hAnsi="Times New Roman"/>
        </w:rPr>
        <w:t>Notwehr (§ 32 StGB)</w:t>
      </w:r>
    </w:p>
    <w:p>
      <w:pPr>
        <w:jc w:val="left"/>
      </w:pPr>
      <w:r>
        <w:rPr>
          <w:b/>
        </w:rPr>
        <w:t>BGH, Urteil 26.02.2020 — 2 StR 358/19</w:t>
      </w:r>
      <w:r>
        <w:t xml:space="preserve"> (NJW 2020, 2189)</w:t>
      </w:r>
    </w:p>
    <w:p>
      <w:pPr>
        <w:jc w:val="left"/>
      </w:pPr>
      <w:r>
        <w:t>Thema: Notwehrprovokation; eingeschränktes Notwehrrecht bei vorhersehbarem Angriff; „actio illicita in causa".</w:t>
      </w:r>
    </w:p>
    <w:p>
      <w:pPr>
        <w:jc w:val="left"/>
      </w:pPr>
      <w:r>
        <w:t>Klausurrelevanz: Hoch (StR AT).</w:t>
      </w:r>
    </w:p>
    <w:p>
      <w:pPr>
        <w:jc w:val="left"/>
      </w:pPr>
      <w:r>
        <w:t>Quelle: bundesgerichtshof.de</w:t>
      </w:r>
    </w:p>
    <w:p/>
    <w:p>
      <w:pPr>
        <w:pStyle w:val="Heading2"/>
      </w:pPr>
      <w:r>
        <w:rPr>
          <w:rFonts w:ascii="Times New Roman" w:hAnsi="Times New Roman"/>
        </w:rPr>
        <w:t>Öffentliches Recht — Ausgewählte Entscheidungen</w:t>
      </w:r>
    </w:p>
    <w:p>
      <w:pPr>
        <w:pStyle w:val="Heading3"/>
      </w:pPr>
      <w:r>
        <w:rPr>
          <w:rFonts w:ascii="Times New Roman" w:hAnsi="Times New Roman"/>
        </w:rPr>
        <w:t>Berufsfreiheit (Art. 12 GG)</w:t>
      </w:r>
    </w:p>
    <w:p>
      <w:pPr>
        <w:jc w:val="left"/>
      </w:pPr>
      <w:r>
        <w:rPr>
          <w:b/>
        </w:rPr>
        <w:t>BVerfG, Beschluss 19.11.2021 — 1 BvR 781/21</w:t>
      </w:r>
      <w:r>
        <w:t xml:space="preserve"> (NJW 2022, 139)</w:t>
      </w:r>
    </w:p>
    <w:p>
      <w:pPr>
        <w:jc w:val="left"/>
      </w:pPr>
      <w:r>
        <w:t>Thema: Corona-Impfpflicht für Pflegepersonal; Art. 12 Abs. 1 GG; 3-Stufen-Theorie; Verhältnismäßigkeit einer Berufsausübungsregelung.</w:t>
      </w:r>
    </w:p>
    <w:p>
      <w:pPr>
        <w:jc w:val="left"/>
      </w:pPr>
      <w:r>
        <w:t>Klausurrelevanz: Hoch (ÖR-GG-Klausur).</w:t>
      </w:r>
    </w:p>
    <w:p>
      <w:pPr>
        <w:jc w:val="left"/>
      </w:pPr>
      <w:r>
        <w:t>Quelle: bundesverfassungsgericht.de</w:t>
      </w:r>
    </w:p>
    <w:p>
      <w:pPr>
        <w:pStyle w:val="Heading3"/>
      </w:pPr>
      <w:r>
        <w:rPr>
          <w:rFonts w:ascii="Times New Roman" w:hAnsi="Times New Roman"/>
        </w:rPr>
        <w:t>Verwaltungsakt / Ermessen</w:t>
      </w:r>
    </w:p>
    <w:p>
      <w:pPr>
        <w:jc w:val="left"/>
      </w:pPr>
      <w:r>
        <w:rPr>
          <w:b/>
        </w:rPr>
        <w:t>OVG Münster, Urteil 17.06.2020 — 6 A 1060/20</w:t>
      </w:r>
      <w:r>
        <w:t xml:space="preserve"> (NWVBl. 2020, 372)</w:t>
      </w:r>
    </w:p>
    <w:p>
      <w:pPr>
        <w:jc w:val="left"/>
      </w:pPr>
      <w:r>
        <w:t>Thema: Ermessensausübung bei Aufhebung begünstigender VA; Vertrauensschutz § 48 VwVfG NRW; Rücknahme mit Jahresfrist.</w:t>
      </w:r>
    </w:p>
    <w:p>
      <w:pPr>
        <w:jc w:val="left"/>
      </w:pPr>
      <w:r>
        <w:t>Klausurrelevanz: Mittel bis hoch (ÖR-VwGO-Klausur NRW).</w:t>
      </w:r>
    </w:p>
    <w:p>
      <w:pPr>
        <w:jc w:val="left"/>
      </w:pPr>
      <w:r>
        <w:t>Quelle: openjur.de</w:t>
      </w:r>
    </w:p>
    <w:p>
      <w:pPr>
        <w:pStyle w:val="Heading3"/>
      </w:pPr>
      <w:r>
        <w:rPr>
          <w:rFonts w:ascii="Times New Roman" w:hAnsi="Times New Roman"/>
        </w:rPr>
        <w:t>Versammlungsrecht (Art. 8 GG)</w:t>
      </w:r>
    </w:p>
    <w:p>
      <w:pPr>
        <w:jc w:val="left"/>
      </w:pPr>
      <w:r>
        <w:rPr>
          <w:b/>
        </w:rPr>
        <w:t>BVerfG, Beschluss 12.05.2010 — 1 BvR 2636/04</w:t>
      </w:r>
      <w:r>
        <w:t xml:space="preserve"> (BVerfGE 126, 112)</w:t>
      </w:r>
    </w:p>
    <w:p>
      <w:pPr>
        <w:jc w:val="left"/>
      </w:pPr>
      <w:r>
        <w:t>Thema: Versammlungsfreiheit; Kooperationspflicht der Behörde; Auflagen; Verhältnismäßigkeit.</w:t>
      </w:r>
    </w:p>
    <w:p>
      <w:pPr>
        <w:jc w:val="left"/>
      </w:pPr>
      <w:r>
        <w:t>Klausurrelevanz: Mittel (Klausurklassiker ÖR).</w:t>
      </w:r>
    </w:p>
    <w:p>
      <w:pPr>
        <w:jc w:val="left"/>
      </w:pPr>
      <w:r>
        <w:t>Quelle: bundesverfassungsgericht.de</w:t>
      </w:r>
    </w:p>
    <w:p/>
    <w:p>
      <w:pPr>
        <w:pStyle w:val="Heading2"/>
      </w:pPr>
      <w:r>
        <w:rPr>
          <w:rFonts w:ascii="Times New Roman" w:hAnsi="Times New Roman"/>
        </w:rPr>
        <w:t>Lernhinweise für Annika</w:t>
      </w:r>
    </w:p>
    <w:p>
      <w:pPr>
        <w:pStyle w:val="ListBullet"/>
      </w:pPr>
      <w:r>
        <w:t>BGH-Entscheidungen für das Examen: nicht wörtlich auswendig lernen, sondern Leitsatz + Problemstellung + Lösung in eigenen Worten.</w:t>
      </w:r>
    </w:p>
    <w:p>
      <w:pPr>
        <w:pStyle w:val="ListBullet"/>
      </w:pPr>
      <w:r>
        <w:t>Besonders prüfungsrelevant: alle Entscheidungen zu §§ 280, 433, 434, 812 BGB (BGB-Schwerpunkt NRW 2024–2027).</w:t>
      </w:r>
    </w:p>
    <w:p>
      <w:pPr>
        <w:pStyle w:val="ListBullet"/>
      </w:pPr>
      <w:r>
        <w:t>OVG Münster-Entscheidungen für NRW-ÖR-Klausuren beachten — NRW-Spezifika bei Polizeirecht und Verwaltungsrecht.</w:t>
      </w:r>
    </w:p>
    <w:p>
      <w:pPr>
        <w:pStyle w:val="ListBullet"/>
      </w:pPr>
      <w:r>
        <w:t>Aktualisierung bis Oktober 2026 empfohlen; danach Repetitorium-Newsletter Alpmann Schmidt für neue Entscheidungen.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BGH-Entscheidungen — bundesgerichtshof.de</w:t>
      </w:r>
    </w:p>
    <w:p>
      <w:pPr>
        <w:pStyle w:val="ListBullet"/>
      </w:pPr>
      <w:r>
        <w:t>BVerfG-Entscheidungen — bundesverfassungsgericht.de</w:t>
      </w:r>
    </w:p>
    <w:p>
      <w:pPr>
        <w:pStyle w:val="ListBullet"/>
      </w:pPr>
      <w:r>
        <w:t>openjur.de — freie Rechtsprechungsdatenbank</w:t>
      </w:r>
    </w:p>
    <w:p>
      <w:pPr>
        <w:pStyle w:val="ListBullet"/>
      </w:pPr>
      <w:r>
        <w:t>dejure.org — Normen und verlinkte Urteile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