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19 — Strafrecht AT: Drittversuch und Aufbaukorrektur</w:t>
      </w:r>
    </w:p>
    <w:p>
      <w:pPr>
        <w:jc w:val="left"/>
      </w:pPr>
      <w:r>
        <w:rPr>
          <w:b/>
        </w:rPr>
        <w:t>Kontext:</w:t>
      </w:r>
      <w:r>
        <w:t xml:space="preserve"> 10. Probeklausur Roosendaal-Tinnefeld, 29.04.2026, Alpmann Schmidt Bonn; Strafrecht AT nach Krise.</w:t>
      </w:r>
    </w:p>
    <w:p/>
    <w:p>
      <w:pPr>
        <w:pStyle w:val="Heading2"/>
      </w:pPr>
      <w:r>
        <w:rPr>
          <w:rFonts w:ascii="Times New Roman" w:hAnsi="Times New Roman"/>
        </w:rPr>
        <w:t>Ausgangslage</w:t>
      </w:r>
    </w:p>
    <w:p>
      <w:pPr>
        <w:jc w:val="left"/>
      </w:pPr>
      <w:r>
        <w:t>Annika hatte nach der 4. Probeklausur (4 Punkte, Januar 2026) gezielt StR AT-Aufbau und Zeitmanagement trainiert. Die 10. Probeklausur am 29.04.2026 war für sie subjektiv ein „Drittversuch" — nach dem traumatischen Erstergebnis und einer zweiten Klausur im März 2026 (5 Punkte, Klausur Nr. 8).</w:t>
      </w:r>
    </w:p>
    <w:p>
      <w:pPr>
        <w:jc w:val="left"/>
      </w:pPr>
      <w:r>
        <w:t xml:space="preserve">Ergebnis der 10. Klausur: </w:t>
      </w:r>
      <w:r>
        <w:rPr>
          <w:b/>
        </w:rPr>
        <w:t>6 Punkte</w:t>
      </w:r>
      <w:r>
        <w:t xml:space="preserve"> — erste klare Verbesserung im Strafrecht AT.</w:t>
      </w:r>
    </w:p>
    <w:p/>
    <w:p>
      <w:pPr>
        <w:pStyle w:val="Heading2"/>
      </w:pPr>
      <w:r>
        <w:rPr>
          <w:rFonts w:ascii="Times New Roman" w:hAnsi="Times New Roman"/>
        </w:rPr>
        <w:t>Klausurabschrift — Kernkomplex (Sachverhalt, anonymisiert)</w:t>
      </w:r>
    </w:p>
    <w:p>
      <w:pPr>
        <w:jc w:val="left"/>
      </w:pPr>
      <w:r>
        <w:rPr>
          <w:b/>
        </w:rPr>
        <w:t>Sachverhalt (Kurzfassung):</w:t>
      </w:r>
    </w:p>
    <w:p>
      <w:pPr>
        <w:jc w:val="left"/>
      </w:pPr>
      <w:r>
        <w:t>A möchte seinen Nachbarn B durch ein gemeinsam geplantes Ablenkungsmanöver dazu bringen, dass B unbeabsichtigt ein wertvolles Gemälde an einen gutgläubigen Dritten C übergibt. A und seine Komplizin D handeln arbeitsteilig.</w:t>
      </w:r>
    </w:p>
    <w:p>
      <w:pPr>
        <w:jc w:val="left"/>
      </w:pPr>
      <w:r>
        <w:rPr>
          <w:b/>
        </w:rPr>
        <w:t>Zu prüfen:</w:t>
      </w:r>
    </w:p>
    <w:p>
      <w:pPr>
        <w:pStyle w:val="ListNumber"/>
      </w:pPr>
      <w:r>
        <w:t>Strafbarkeit A wegen Betruges (§ 263 StGB) und Urkundenfälschung (§ 267 StGB)</w:t>
      </w:r>
    </w:p>
    <w:p>
      <w:pPr>
        <w:pStyle w:val="ListNumber"/>
      </w:pPr>
      <w:r>
        <w:t>Strafbarkeit D als Mittäterin oder Gehilfin</w:t>
      </w:r>
    </w:p>
    <w:p>
      <w:pPr>
        <w:pStyle w:val="ListNumber"/>
      </w:pPr>
      <w:r>
        <w:t>Strafbarkeit wegen Hehlerei (§ 259 StGB) bei X, dem Empfänger</w:t>
      </w:r>
    </w:p>
    <w:p/>
    <w:p>
      <w:pPr>
        <w:pStyle w:val="Heading2"/>
      </w:pPr>
      <w:r>
        <w:rPr>
          <w:rFonts w:ascii="Times New Roman" w:hAnsi="Times New Roman"/>
        </w:rPr>
        <w:t>Aufbau Annikas (nach Korrektur)</w:t>
      </w:r>
    </w:p>
    <w:p>
      <w:pPr>
        <w:pStyle w:val="Heading3"/>
      </w:pPr>
      <w:r>
        <w:rPr>
          <w:rFonts w:ascii="Times New Roman" w:hAnsi="Times New Roman"/>
        </w:rPr>
        <w:t>Strafbarkeit A</w:t>
      </w:r>
    </w:p>
    <w:p>
      <w:pPr>
        <w:jc w:val="left"/>
      </w:pPr>
      <w:r>
        <w:rPr>
          <w:b/>
        </w:rPr>
        <w:t>I. § 263 StGB (Betrug)</w:t>
      </w:r>
    </w:p>
    <w:p>
      <w:pPr>
        <w:jc w:val="left"/>
      </w:pPr>
      <w:r>
        <w:t xml:space="preserve">Obersatz: </w:t>
      </w:r>
      <w:r>
        <w:rPr>
          <w:i/>
        </w:rPr>
        <w:t>A könnte sich wegen Betruges gemäß § 263 Abs. 1 StGB strafbar gemacht haben.</w:t>
      </w:r>
    </w:p>
    <w:p>
      <w:pPr>
        <w:jc w:val="left"/>
      </w:pPr>
      <w:r>
        <w:rPr>
          <w:b/>
        </w:rPr>
        <w:t>Tatbestand:</w:t>
      </w:r>
    </w:p>
    <w:p>
      <w:pPr>
        <w:pStyle w:val="ListNumber"/>
      </w:pPr>
      <w:r>
        <w:t xml:space="preserve">Täuschung: A hat B durch das Ablenkungsmanöver eine falsche Tatsache vorgespiegelt (§ 263 Abs. 1 Var. 1 StGB: ausdrückliche Täuschung). </w:t>
      </w:r>
      <w:r>
        <w:rPr>
          <w:i/>
        </w:rPr>
        <w:t>→ (+)</w:t>
      </w:r>
    </w:p>
    <w:p>
      <w:pPr>
        <w:pStyle w:val="ListNumber"/>
      </w:pPr>
      <w:r>
        <w:t xml:space="preserve">Irrtum: B glaubte, die Übergabe des Gemäldes sei rechtlich unbedenklich. </w:t>
      </w:r>
      <w:r>
        <w:rPr>
          <w:i/>
        </w:rPr>
        <w:t>→ (+)</w:t>
      </w:r>
    </w:p>
    <w:p>
      <w:pPr>
        <w:pStyle w:val="ListNumber"/>
      </w:pPr>
      <w:r>
        <w:t xml:space="preserve">Vermögensverfügung: B übergab das Gemälde — unmittelbare Vermögensminderung. </w:t>
      </w:r>
      <w:r>
        <w:rPr>
          <w:i/>
        </w:rPr>
        <w:t>→ (+)</w:t>
      </w:r>
    </w:p>
    <w:p>
      <w:pPr>
        <w:pStyle w:val="ListNumber"/>
      </w:pPr>
      <w:r>
        <w:t xml:space="preserve">Vermögensschaden: Das Gemälde hatte Marktwert; B erhielt keine Gegenleistung. </w:t>
      </w:r>
      <w:r>
        <w:rPr>
          <w:i/>
        </w:rPr>
        <w:t>→ (+)</w:t>
      </w:r>
    </w:p>
    <w:p>
      <w:pPr>
        <w:pStyle w:val="ListNumber"/>
      </w:pPr>
      <w:r>
        <w:t xml:space="preserve">Vorsatz: A handelte mit dolus directus ersten Grades. </w:t>
      </w:r>
      <w:r>
        <w:rPr>
          <w:i/>
        </w:rPr>
        <w:t>→ (+)</w:t>
      </w:r>
    </w:p>
    <w:p>
      <w:pPr>
        <w:pStyle w:val="ListNumber"/>
      </w:pPr>
      <w:r>
        <w:t xml:space="preserve">Bereicherungsabsicht: A wollte sich den Erlös verschaffen. </w:t>
      </w:r>
      <w:r>
        <w:rPr>
          <w:i/>
        </w:rPr>
        <w:t>→ (+)</w:t>
      </w:r>
    </w:p>
    <w:p>
      <w:pPr>
        <w:jc w:val="left"/>
      </w:pPr>
      <w:r>
        <w:t xml:space="preserve">Ergebnis § 263 StGB: </w:t>
      </w:r>
      <w:r>
        <w:rPr>
          <w:b/>
        </w:rPr>
        <w:t>Tatbestand erfüllt, keine Rechtfertigungsgründe, keine Entschuldigungsgründe. A ist strafbar gemäß § 263 Abs. 1 StGB.</w:t>
      </w:r>
    </w:p>
    <w:p>
      <w:pPr>
        <w:pStyle w:val="Heading3"/>
      </w:pPr>
      <w:r>
        <w:rPr>
          <w:rFonts w:ascii="Times New Roman" w:hAnsi="Times New Roman"/>
        </w:rPr>
        <w:t>Strafbarkeit D</w:t>
      </w:r>
    </w:p>
    <w:p>
      <w:pPr>
        <w:jc w:val="left"/>
      </w:pPr>
      <w:r>
        <w:rPr>
          <w:b/>
        </w:rPr>
        <w:t>II. § 263 StGB i.V.m. § 25 Abs. 2 StGB (Mittäterschaft)</w:t>
      </w:r>
    </w:p>
    <w:p>
      <w:pPr>
        <w:jc w:val="left"/>
      </w:pPr>
      <w:r>
        <w:t>D hat nach dem gemeinsamen Tatplan einen wesentlichen Beitrag geleistet (Ablenkung des B). Gemeinsame Tatherrschaft (+). D ist Mittäterin.</w:t>
      </w:r>
    </w:p>
    <w:p>
      <w:pPr>
        <w:jc w:val="left"/>
      </w:pPr>
      <w:r>
        <w:rPr>
          <w:i/>
        </w:rPr>
        <w:t>Alternativ geprüft:</w:t>
      </w:r>
      <w:r>
        <w:t xml:space="preserve"> Beihilfe nach § 27 StGB — Ergebnis: Mittäterschaft verdrängt die Beihilfe (lex specialis).</w:t>
      </w:r>
    </w:p>
    <w:p>
      <w:pPr>
        <w:pStyle w:val="Heading3"/>
      </w:pPr>
      <w:r>
        <w:rPr>
          <w:rFonts w:ascii="Times New Roman" w:hAnsi="Times New Roman"/>
        </w:rPr>
        <w:t>Strafbarkeit X</w:t>
      </w:r>
    </w:p>
    <w:p>
      <w:pPr>
        <w:jc w:val="left"/>
      </w:pPr>
      <w:r>
        <w:rPr>
          <w:b/>
        </w:rPr>
        <w:t>III. § 259 StGB (Hehlerei)</w:t>
      </w:r>
    </w:p>
    <w:p>
      <w:pPr>
        <w:jc w:val="left"/>
      </w:pPr>
      <w:r>
        <w:t xml:space="preserve">X hat das Gemälde in Kenntnis der Herkunft erworben. </w:t>
      </w:r>
      <w:r>
        <w:rPr>
          <w:i/>
        </w:rPr>
        <w:t>Annika-Fehler in Klausur Nr. 8: „abgeleitet vom Vortäter" nicht sauber geprüft.</w:t>
      </w:r>
      <w:r>
        <w:t xml:space="preserve"> In Klausur Nr. 10 korrekt ausgeführt: Hehlerei setzt voraus, dass die Vortat eine rechtswidrige Tat war (§ 259 Abs. 1 StGB) und X dies wusste.</w:t>
      </w:r>
    </w:p>
    <w:p/>
    <w:p>
      <w:pPr>
        <w:pStyle w:val="Heading2"/>
      </w:pPr>
      <w:r>
        <w:rPr>
          <w:rFonts w:ascii="Times New Roman" w:hAnsi="Times New Roman"/>
        </w:rPr>
        <w:t>Korrekturbemerkungen Alpmann Schmidt</w:t>
      </w:r>
    </w:p>
    <w:p>
      <w:pPr>
        <w:pStyle w:val="ListBullet"/>
      </w:pPr>
      <w:r>
        <w:t>Verbesserung gegenüber Klausur Nr. 4 klar erkennbar: Zeitprotokoll funktioniert.</w:t>
      </w:r>
    </w:p>
    <w:p>
      <w:pPr>
        <w:pStyle w:val="ListBullet"/>
      </w:pPr>
      <w:r>
        <w:t>Komplex I (A und D): 8 Punkte intern; Komplex II (X) noch: 5 Punkte intern → Schnitt 6.</w:t>
      </w:r>
    </w:p>
    <w:p>
      <w:pPr>
        <w:pStyle w:val="ListBullet"/>
      </w:pPr>
      <w:r>
        <w:t>Zu verbessern: § 267 StGB (Urkundenfälschung) wurde im zweiten Komplex nicht vollständig geprüft; Zeitproblem noch nicht ganz gelöst.</w:t>
      </w:r>
    </w:p>
    <w:p>
      <w:pPr>
        <w:pStyle w:val="ListBullet"/>
      </w:pPr>
      <w:r>
        <w:t>Gesamtkommentar: „Substantielle Aufbauverbesserung. StR BT noch nacharbeiten."</w:t>
      </w:r>
    </w:p>
    <w:p/>
    <w:p>
      <w:pPr>
        <w:pStyle w:val="Heading2"/>
      </w:pPr>
      <w:r>
        <w:rPr>
          <w:rFonts w:ascii="Times New Roman" w:hAnsi="Times New Roman"/>
        </w:rPr>
        <w:t>Lehren und nächste Schritte</w:t>
      </w:r>
    </w:p>
    <w:p>
      <w:pPr>
        <w:pStyle w:val="ListNumber"/>
      </w:pPr>
      <w:r>
        <w:rPr>
          <w:b/>
        </w:rPr>
        <w:t>§ 267 StGB</w:t>
      </w:r>
      <w:r>
        <w:t xml:space="preserve"> (Urkundenfälschung) gezielt üben — Abgrenzung zur Fälschung von Beweismitteln.</w:t>
      </w:r>
    </w:p>
    <w:p>
      <w:pPr>
        <w:pStyle w:val="ListNumber"/>
      </w:pPr>
      <w:r>
        <w:rPr>
          <w:b/>
        </w:rPr>
        <w:t>§ 259 StGB</w:t>
      </w:r>
      <w:r>
        <w:t xml:space="preserve"> (Hehlerei): Tatbestandsmerkmale vollständig lernen (Vortäter, Sachhehlerei, Absatzhehlerei, Begünstigung vs. Hehlerei).</w:t>
      </w:r>
    </w:p>
    <w:p>
      <w:pPr>
        <w:pStyle w:val="ListNumber"/>
      </w:pPr>
      <w:r>
        <w:rPr>
          <w:b/>
        </w:rPr>
        <w:t>StR BT Vertiefer:</w:t>
      </w:r>
      <w:r>
        <w:t xml:space="preserve"> 2 Klausuren bis August 2026 mit StR BT-Schwerpunkt.</w:t>
      </w:r>
    </w:p>
    <w:p>
      <w:pPr>
        <w:pStyle w:val="ListNumber"/>
      </w:pPr>
      <w:r>
        <w:rPr>
          <w:b/>
        </w:rPr>
        <w:t>Zeitprotokoll:</w:t>
      </w:r>
      <w:r>
        <w:t xml:space="preserve"> weiterführen; Komplex II darf nicht kürzer als 70 % der Zeit von Komplex I sein.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§ 263 StGB bei dejure.org (Betrug)</w:t>
      </w:r>
    </w:p>
    <w:p>
      <w:pPr>
        <w:pStyle w:val="ListBullet"/>
      </w:pPr>
      <w:r>
        <w:t>§ 25 StGB bei dejure.org (Täterschaft)</w:t>
      </w:r>
    </w:p>
    <w:p>
      <w:pPr>
        <w:pStyle w:val="ListBullet"/>
      </w:pPr>
      <w:r>
        <w:t>§ 259 StGB bei dejure.org (Hehlerei)</w:t>
      </w:r>
    </w:p>
    <w:p>
      <w:pPr>
        <w:pStyle w:val="ListBullet"/>
      </w:pPr>
      <w:r>
        <w:t>§ 267 StGB bei dejure.org (Urkundenfälschung)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