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Motivation und Prüfungsmotivation: Durchhalten im Examen</w:t>
      </w:r>
    </w:p>
    <w:p>
      <w:pPr>
        <w:jc w:val="left"/>
      </w:pPr>
      <w:r>
        <w:rPr>
          <w:b/>
        </w:rPr>
        <w:t>Kontext:</w:t>
      </w:r>
      <w:r>
        <w:t xml:space="preserve"> Examensbegleitung Roosendaal-Tinnefeld; psychologische und motivationale Begleitung parallel zur fachlichen Vorbereitung.</w:t>
      </w:r>
    </w:p>
    <w:p/>
    <w:p>
      <w:pPr>
        <w:pStyle w:val="Heading2"/>
      </w:pPr>
      <w:r>
        <w:rPr>
          <w:rFonts w:ascii="Times New Roman" w:hAnsi="Times New Roman"/>
        </w:rPr>
        <w:t>Motivationsgrundlage</w:t>
      </w:r>
    </w:p>
    <w:p>
      <w:pPr>
        <w:jc w:val="left"/>
      </w:pPr>
      <w:r>
        <w:t>Motivation in der Examensvorbereitung ist keine willkürliche Gemütslage — sie ist eine Kombination aus intrinsischen Zielen (was will ich wirklich?), extrinsischen Anreizen (Berufsaussichten, Anerkennung) und erlernten Gewohnheiten (Lerntechnik, Struktur).</w:t>
      </w:r>
    </w:p>
    <w:p>
      <w:pPr>
        <w:jc w:val="left"/>
      </w:pPr>
      <w:r>
        <w:t>Annikas intrinsische Motivation:</w:t>
      </w:r>
    </w:p>
    <w:p>
      <w:pPr>
        <w:pStyle w:val="ListBullet"/>
      </w:pPr>
      <w:r>
        <w:t>Interesse am Internationalen Privatrecht und an grenzüberschreitenden Transaktionen.</w:t>
      </w:r>
    </w:p>
    <w:p>
      <w:pPr>
        <w:pStyle w:val="ListBullet"/>
      </w:pPr>
      <w:r>
        <w:t>Wunsch nach internationalem Arbeiten (Oxford-LL.M.).</w:t>
      </w:r>
    </w:p>
    <w:p>
      <w:pPr>
        <w:pStyle w:val="ListBullet"/>
      </w:pPr>
      <w:r>
        <w:t>Akademisches Selbstbild: Juristin, die substanziell zur Rechtsentwicklung beiträgt.</w:t>
      </w:r>
    </w:p>
    <w:p>
      <w:pPr>
        <w:jc w:val="left"/>
      </w:pPr>
      <w:r>
        <w:t>Erschwerend: Erwartungsdruck Vater; eigener hoher Anspruch; Erkrankung 2026.</w:t>
      </w:r>
    </w:p>
    <w:p/>
    <w:p>
      <w:pPr>
        <w:pStyle w:val="Heading2"/>
      </w:pPr>
      <w:r>
        <w:rPr>
          <w:rFonts w:ascii="Times New Roman" w:hAnsi="Times New Roman"/>
        </w:rPr>
        <w:t>Krisenpunkte und Reaktionen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Krisenpunkt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Reaktion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4-Punkte-Klausur StR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Weinen, Abbruchgedanken; dann Telefonat Dr. Dueck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Erkrankung Pfeiffersches Drüsenfieber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Wochen Ausfall; Lernplan neu erstellt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Vater-E-Mail Praktikumsdruck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Telefonat ohne Einigung; Beratung psych. Studienberatung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Rückblick Prüfungsergebnisse (April 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Erfolgstagebuch gestartet; Lerngruppe reaktiviert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Motivationsstrategien (Auswahl aus Beratungsgesprächen)</w:t>
      </w:r>
    </w:p>
    <w:p>
      <w:pPr>
        <w:pStyle w:val="Heading3"/>
      </w:pPr>
      <w:r>
        <w:rPr>
          <w:rFonts w:ascii="Times New Roman" w:hAnsi="Times New Roman"/>
        </w:rPr>
        <w:t>1. Erfolgstagebuch</w:t>
      </w:r>
    </w:p>
    <w:p>
      <w:pPr>
        <w:jc w:val="left"/>
      </w:pPr>
      <w:r>
        <w:t>Täglich 5 Minuten: aufschreiben, was heute gelernt wurde und was gut lief. Keine negativen Einträge. Wirkung: verschiebt Fokus von „was fehlt noch" zu „was habe ich".</w:t>
      </w:r>
    </w:p>
    <w:p>
      <w:pPr>
        <w:pStyle w:val="Heading3"/>
      </w:pPr>
      <w:r>
        <w:rPr>
          <w:rFonts w:ascii="Times New Roman" w:hAnsi="Times New Roman"/>
        </w:rPr>
        <w:t>2. Wochenziele statt Tagesziele</w:t>
      </w:r>
    </w:p>
    <w:p>
      <w:pPr>
        <w:jc w:val="left"/>
      </w:pPr>
      <w:r>
        <w:t>Statt „heute muss ich 30 Seiten Palandt lesen" besser: „diese Woche beherrsche ich § 437 BGB vollständig". Flexible Tagsziele reduzieren Schuld bei Minderleistung.</w:t>
      </w:r>
    </w:p>
    <w:p>
      <w:pPr>
        <w:pStyle w:val="Heading3"/>
      </w:pPr>
      <w:r>
        <w:rPr>
          <w:rFonts w:ascii="Times New Roman" w:hAnsi="Times New Roman"/>
        </w:rPr>
        <w:t>3. Lerngruppe als Anker</w:t>
      </w:r>
    </w:p>
    <w:p>
      <w:pPr>
        <w:jc w:val="left"/>
      </w:pPr>
      <w:r>
        <w:t>Annikas Lerngruppe (Kristina Löhr, Max Freimann) trifft sich dienstags und freitags von 10–14 Uhr im Juridicum Bonn. Gegenseitige Korrekturen von Lösungen wirken motivierend.</w:t>
      </w:r>
    </w:p>
    <w:p>
      <w:pPr>
        <w:pStyle w:val="Heading3"/>
      </w:pPr>
      <w:r>
        <w:rPr>
          <w:rFonts w:ascii="Times New Roman" w:hAnsi="Times New Roman"/>
        </w:rPr>
        <w:t>4. Wohlbehagen-Anker</w:t>
      </w:r>
    </w:p>
    <w:p>
      <w:pPr>
        <w:jc w:val="left"/>
      </w:pPr>
      <w:r>
        <w:t>Konkrete Rituale: morgens Kaffee auf der Terrasse, 30 Minuten Rheinpromenade nachmittags, freitags Kino oder Restaurant. Diese Rituale nicht streichen, auch in heißen Lernphasen.</w:t>
      </w:r>
    </w:p>
    <w:p>
      <w:pPr>
        <w:pStyle w:val="Heading3"/>
      </w:pPr>
      <w:r>
        <w:rPr>
          <w:rFonts w:ascii="Times New Roman" w:hAnsi="Times New Roman"/>
        </w:rPr>
        <w:t>5. Visualisierung des Ziels</w:t>
      </w:r>
    </w:p>
    <w:p>
      <w:pPr>
        <w:jc w:val="left"/>
      </w:pPr>
      <w:r>
        <w:t>Annika hat ein Foto des Prüfungssaals JPA Köln sowie ein Foto von Oxford über dem Schreibtisch. Tägliche kurze Visualisierung (2 Minuten): Prüfungstag vorstellen, wie sie die Klausur abgibt.</w:t>
      </w:r>
    </w:p>
    <w:p/>
    <w:p>
      <w:pPr>
        <w:pStyle w:val="Heading2"/>
      </w:pPr>
      <w:r>
        <w:rPr>
          <w:rFonts w:ascii="Times New Roman" w:hAnsi="Times New Roman"/>
        </w:rPr>
        <w:t>E-Mail an Lerngruppe (Mai 2026)</w:t>
      </w:r>
    </w:p>
    <w:p>
      <w:pPr>
        <w:jc w:val="left"/>
      </w:pPr>
      <w:r>
        <w:t xml:space="preserve">Nach der Überwindung der Krise schrieb Annika am 15.05.2026 eine E-Mail an ihre Lerngruppe (Anhang </w:t>
      </w:r>
      <w:r>
        <w:t>emails/2026-05-15_roosendaal_an_lerngruppe_motivation.eml</w:t>
      </w:r>
      <w:r>
        <w:t>):</w:t>
      </w:r>
    </w:p>
    <w:p>
      <w:pPr>
        <w:ind w:left="567"/>
      </w:pPr>
      <w:r>
        <w:rPr>
          <w:i/>
        </w:rPr>
        <w:t>„Ich wollte euch einfach sagen: Die letzten Wochen waren hart. Zwischen Grippe (die sich dann als Pfeiffersches Drüsenfieber herausstellte), dem Vater-Stress und dem 4-Punkte-Schock war ich kurz davor, das hinzuschmeißen. Bin ich nicht. Die letzte Klausur war 6 Punkte — und das hat sich anders angefühlt als früher. Macht weiter. Wir schaffen das."</w:t>
      </w:r>
    </w:p>
    <w:p/>
    <w:p>
      <w:pPr>
        <w:pStyle w:val="Heading2"/>
      </w:pPr>
      <w:r>
        <w:rPr>
          <w:rFonts w:ascii="Times New Roman" w:hAnsi="Times New Roman"/>
        </w:rPr>
        <w:t>Motivationsposter (Annikas Schreibtisch, Mai 2026)</w:t>
      </w:r>
    </w:p>
    <w:p>
      <w:pPr>
        <w:ind w:left="567"/>
      </w:pPr>
      <w:r>
        <w:rPr>
          <w:i/>
        </w:rPr>
        <w:t>„Das Examen besteht aus 180 Klausurstunden. Du hast in der Vorbereitung mehr als 2.000 Stunden investiert. Die Klausurstunden sind nur die Präsentation deiner Arbeit."</w:t>
      </w:r>
    </w:p>
    <w:p>
      <w:pPr>
        <w:ind w:left="567"/>
      </w:pPr>
      <w:r>
        <w:rPr>
          <w:i/>
        </w:rPr>
        <w:t>— selbst formuliert nach Dr. Dueck-Beratung</w:t>
      </w:r>
    </w:p>
    <w:p/>
    <w:p>
      <w:pPr>
        <w:pStyle w:val="Heading2"/>
      </w:pPr>
      <w:r>
        <w:rPr>
          <w:rFonts w:ascii="Times New Roman" w:hAnsi="Times New Roman"/>
        </w:rPr>
        <w:t>Langfristige Perspektive</w:t>
      </w:r>
    </w:p>
    <w:p>
      <w:pPr>
        <w:jc w:val="left"/>
      </w:pPr>
      <w:r>
        <w:t>Annika hat nach der Überwindung der Krisephase klar formuliert: Auch wenn das Ergebnis im Examen unter 7 Punkten liegt, ist der LL.M.-Plan nicht vom Tisch. Oxford nimmt auch Bewerber mit 6,5 Punkten bei exzellentem Schwerpunktzeugnis. Die Hausarbeit mit 11 Punkten ist ein starkes Argument.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Aktenstück 09: Klausurenentwicklung</w:t>
      </w:r>
    </w:p>
    <w:p>
      <w:pPr>
        <w:pStyle w:val="ListBullet"/>
      </w:pPr>
      <w:r>
        <w:t>Aktenstück 16: Psychologische Studienberatung</w:t>
      </w:r>
    </w:p>
    <w:p>
      <w:pPr>
        <w:pStyle w:val="ListBullet"/>
      </w:pPr>
      <w:r>
        <w:t>Aktenstück 11: Mentorat Dr. Dueck</w:t>
      </w:r>
    </w:p>
    <w:p>
      <w:pPr>
        <w:pStyle w:val="ListBullet"/>
      </w:pPr>
      <w:r>
        <w:t>emails/2026-05-15_roosendaal_an_lerngruppe_motivation.eml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