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Chronologie der Examensvorbereitung</w:t>
      </w:r>
    </w:p>
    <w:p>
      <w:pPr>
        <w:jc w:val="left"/>
      </w:pPr>
      <w:r>
        <w:rPr>
          <w:b/>
        </w:rPr>
        <w:t>Kontext:</w:t>
      </w:r>
      <w:r>
        <w:t xml:space="preserve"> Zeitstrahl Roosendaal-Tinnefeld, September 2025 bis voraussichtlich März 2027.</w:t>
      </w:r>
    </w:p>
    <w:p/>
    <w:p>
      <w:pPr>
        <w:pStyle w:val="Heading2"/>
      </w:pPr>
      <w:r>
        <w:rPr>
          <w:rFonts w:ascii="Times New Roman" w:hAnsi="Times New Roman"/>
        </w:rPr>
        <w:t>Zeitstrahl</w:t>
      </w:r>
    </w:p>
    <w:p>
      <w:pPr>
        <w:pStyle w:val="Heading3"/>
      </w:pPr>
      <w:r>
        <w:rPr>
          <w:rFonts w:ascii="Times New Roman" w:hAnsi="Times New Roman"/>
        </w:rPr>
        <w:t>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01.09.2025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Entscheid: Examensstart Frühjahr 2027; erstes Gespräch Dr. Dueck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15.09.2025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18-Monats-Lernplan erstellt (erste Fassung)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Beginn Repetitorium Alpmann Schmidt Bonn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Repetitorium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1 (BGB SchuldR): 6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2 (StR AT): 5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3 (ÖR GG): 6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Dez.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Weihnachtsgespräch mit Vater: erster Konflikt Praktikum/LL.M.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Familienkonflikt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2026 (Q1)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IPR-Hausarbeit: Intensivarbeitsphase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Probeklausur Nr. 4 (StR AT): </w:t>
            </w:r>
            <w:r>
              <w:rPr>
                <w:rFonts w:ascii="Times New Roman" w:hAnsi="Times New Roman"/>
                <w:b/>
                <w:sz w:val="20"/>
              </w:rPr>
              <w:t>4 Punkte</w:t>
            </w:r>
            <w:r>
              <w:rPr>
                <w:rFonts w:ascii="Times New Roman" w:hAnsi="Times New Roman"/>
                <w:sz w:val="20"/>
              </w:rPr>
              <w:t xml:space="preserve"> — Krise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Telefonat mit Dr. Dueck; kein Studienabbruch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Mentorat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Einzelberatung Dr. Dueck: Zeitprotokoll eingeführt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Mentorat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Sitzung Psychologische Studienberatung Bonn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Psychologie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5 (BGB SachenR): 7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Annika an Prof. Dr. Witzleben (Hausarbeitsthema)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 IPR-Hausarbeit (26 Seiten, Rom-I/II-VO)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6 (ÖR VwGO): 6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Kostenanfrage Alpmann Schmidt (zweite Rate)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Administratives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7 (BGB AT): 7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Diagnose Pfeiffersches Drüsenfieber (EBV, ICD-10: B27.0)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Nachteilsausgleichsantrag an JPA Köln (§ 9 JAG NRW)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Prüfungsrecht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2026 (Q2)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Ende akute Krankheitsphase; Teilarbeitsaufnahme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Krankheit/Genesung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Vater: Druck Wirtschaftsanwaltspraktikum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Anmeldung 1. Juristische Prüfung JPA Köln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Eingangsbestätigung JPA Köln; Zulassung bestätigt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8 (StR BT): 5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Ärztliche Entlassung aus Schonphase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Gesundheit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Probeklausur Nr. 10 (StR AT Drittversuch): </w:t>
            </w:r>
            <w:r>
              <w:rPr>
                <w:rFonts w:ascii="Times New Roman" w:hAnsi="Times New Roman"/>
                <w:b/>
                <w:sz w:val="20"/>
              </w:rPr>
              <w:t>6 Punkte</w:t>
            </w:r>
            <w:r>
              <w:rPr>
                <w:rFonts w:ascii="Times New Roman" w:hAnsi="Times New Roman"/>
                <w:sz w:val="20"/>
              </w:rPr>
              <w:t xml:space="preserve"> — Trendwende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Kontakt Vater: kein Ergebnis; Stipendienanfragen DAAD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Familienkonflikt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11 (ÖR Verwaltungsrecht): 7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Annika an Lerngruppe: Motivations-E-Mail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Motivation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Probeklausur Nr. 12 (BGB FamR/ErbR): 6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2026 (Q3/Q4 — geplant)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Hausarbeitsnote bekannt: 11 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Hausarbeit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Jul.–Aug.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Konsolidierungsphase; Schwächen FamR/ErbR und StR BT 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vollständige Examenssimulation (5h, Alpmann Schmidt)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Zwischengespräch Psychologische Studienberatung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Psychologie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Examensnahe Klausurenrunde Alpmann Schmidt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Klausurentraining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Dez.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Weihnachtspause 3 Tage; danach letzte Klausurenphase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Pausenplanung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2027 (geplant)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Jan.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Letzte Vorbereitung; Schemata, Lernkarten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Feb./Mär.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Schriftliche Prüfung (6 Klausuren à 5h) — genaue Termine folgen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Frühjahr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Mündliche Prüfung (Schwerpunktbereich IPR, Uni Bonn)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Sommer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Ergebnis; LL.M.-Bewerbungen; Berufseinstieg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Ausblick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Lernprotokoll Roosendaal-Tinnefeld (intern)</w:t>
      </w:r>
    </w:p>
    <w:p>
      <w:pPr>
        <w:pStyle w:val="ListBullet"/>
      </w:pPr>
      <w:r>
        <w:t>examensvorbereitungsplan_18monate_roosendaal.docx</w:t>
      </w:r>
    </w:p>
    <w:p>
      <w:pPr>
        <w:pStyle w:val="ListBullet"/>
      </w:pPr>
      <w:r>
        <w:t>JAG NRW bei dejure.org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