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Schreib-Canvas-Karten — Sache Meyer ./. Kranz</w:t>
      </w:r>
    </w:p>
    <w:p>
      <w:pPr>
        <w:jc w:val="left"/>
      </w:pPr>
      <w:r>
        <w:rPr>
          <w:b/>
        </w:rPr>
        <w:t>Akte:</w:t>
      </w:r>
      <w:r>
        <w:t xml:space="preserve"> 2026-MIET-004</w:t>
      </w:r>
    </w:p>
    <w:p>
      <w:pPr>
        <w:jc w:val="left"/>
      </w:pPr>
      <w:r>
        <w:rPr>
          <w:b/>
        </w:rPr>
        <w:t>Verfahren:</w:t>
      </w:r>
      <w:r>
        <w:t xml:space="preserve"> AG Mitte, 12 C 88/26</w:t>
      </w:r>
    </w:p>
    <w:p>
      <w:pPr>
        <w:jc w:val="left"/>
      </w:pPr>
      <w:r>
        <w:rPr>
          <w:b/>
        </w:rPr>
        <w:t>Stand:</w:t>
      </w:r>
      <w:r>
        <w:t xml:space="preserve"> 20.05.2026, Bearbeiterin: Jana Reuter</w:t>
      </w:r>
    </w:p>
    <w:p>
      <w:pPr>
        <w:jc w:val="left"/>
      </w:pPr>
      <w:r>
        <w:rPr>
          <w:b/>
        </w:rPr>
        <w:t>Zweck:</w:t>
      </w:r>
      <w:r>
        <w:t xml:space="preserve"> Strukturiertes Arbeitsblatt für die Schriftsatzantwort auf die Klageerwiderung des Vermieters; jede Karte entspricht einem Baustein des fertigen Schriftsatzes.</w:t>
      </w:r>
    </w:p>
    <w:p/>
    <w:p>
      <w:pPr>
        <w:pStyle w:val="Heading2"/>
      </w:pPr>
      <w:r>
        <w:rPr>
          <w:rFonts w:ascii="Times New Roman" w:hAnsi="Times New Roman"/>
        </w:rPr>
        <w:t>Tatsachenkarten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Karte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Kerntatsache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Beleg / Anlage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T-1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Mietverhältnis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Wohnraummietvertrag vom 01.09.2022 zwischen Clara Meyer (Mieterin) und Hartmut Kranz (Vermieter), Objekt: Brunnenstraße 8, 2. OG links, 10119 Berlin, Monatsmiete 920,00 EUR kalt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Mietvertrag, Anlage K1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Zahlung April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Mietzahlung April 2026 in Höhe von 920,00 EUR überwiesen am 03.04.2026, Wertstellung 04.04.2026, IBAN des Vermieters DE44 1004 0048 7654 3210 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Kontoauszug April 2026, Anlage K2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T-3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Zahlung Mai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Mietzahlung Mai 2026 in Höhe von 920,00 EUR überwiesen am 06.05.2026, Wertstellung 07.05.2026, gleiche IBAN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Kontoauszug Mai 2026, Anlage K3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geprüft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Schlössertausch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Am 19.05.2026, ca. 14:30 Uhr stellte Mandantin fest, dass das Türschloss ihrer Wohnung ausgetauscht worden war; Zutritt zur Wohnung war nicht möglich; kein Vorabhinweis des Vermieters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WhatsApp-Nachricht Mandantin 19.05.2026, Zeugin Lena Sturm (Nachbarin), Anlage K4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 ergänzen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T-5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Drohung Schlüsseldienst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Am 19.05.2026, 14:52 Uhr sandte Vermieter Kranz eine WhatsApp-Nachricht an Mandantin mit dem Wortlaut: "Sie wohnen ab jetzt woanders. Den Schlüssel bekommen Sie nicht mehr."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Screenshot WhatsApp, Anlage K5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Screenshot liegt nur abgeschnitten vor — vollständiges Bild von Mandantin anfordern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T-6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Notquartier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 musste am 19.05.2026 und 20.05.2026 bei ihrer Schwester, Petra Meyer, Gartenstraße 22, 10115 Berlin, übernachten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Aussage Mandantin; ggf. Zeugenerklärung Petra Meyer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Rechtskarten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Karte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Rechtsnorm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Gegenargument / Risiko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R-1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Verbotene Eigenmacht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858 Abs. 1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 dem Besitzer ohne dessen Willen und ohne gesetzliche Erlaubnis den Besitz entzieht, handelt widerrechtlich (verbotene Eigenmacht). Schlösseraustausch ohne Einwilligung ist klassischer Anwendungsfall.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Vermieter könnte behaupten, Mandantin sei bereits ausgezogen — dagegen: Möbel/Hab und Gut in der Wohnung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Besitzschutz / Wiedereinräumung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861 Abs. 1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 durch verbotene Eigenmacht den Besitz verloren hat, kann Wiedereinräumung verlangen. Dieser Anspruch ist eigenständig und nicht von Zahlungsstreitigkeiten abhängig.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relevanten Einwände erwartet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R-3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Unterlassung weiterer Störungen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862 Abs. 1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 fortdauernder Besitzstörung kann der Besitzer Unterlassung verlangen. Hier drohen weitere Zutrittsverweigerungen.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Vermieter könnte Beendigung der Störung behaupten — Sicherung durch einstweilige Verfügung sinnvoll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Einstweilige Verfügung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§§ 935, 940 ZPO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Verfügungsanspruch aus §§ 861, 862 BGB; Verfügungsgrund: drohende weitere Rechtsverletzung, Dringlichkeit durch Wohnungsverlust begründet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Glaubhaftmachung durch eidesstattliche Versicherung der Mandantin zwingend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R-5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Rückbehaltungsrecht des Vermieters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273 BGB, § 320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Vermieter kann Rückbehaltungsrecht nur geltend machen, wenn tatsächlich Rückstand besteht; Rückstand wird substantiiert bestritten (Anlage K2, K3)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Vermieter behauptet angeblich Rückstand März 2026 — Kontoauszug März prüfen und ggf. als Anlage K6 vorlegen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Antrags- und Versandkarten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Karte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Vermieter wird verurteilt / verpflichtet, der Mandantin den unmittelbaren Besitz an der Wohnung Brunnenstraße 8, 2. OG links, 10119 Berlin unverzüglich wiederzuräumen sowie künftige Besitzstörungen zu unterlassen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Hilfsantrag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Für den Fall der Hauptsacheentscheidung: Feststellung, dass Mietverhältnis ungekündigt fortbesteht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offen — anwaltliche Abwägung erforderlich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A-3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 des Verfahrens dem Vermieter aufzuerlegen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V-1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Versand beA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Schriftsatz mit Anlagen K1–K5 (ggf. K6) per beA an AG Mitte, Aktenzeichen 12 C 88/26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Simulation; Frist 23.05.2026, 12:00 Uhr — echte Übermittlung durch Anwältin erforderlich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Eidesstattliche 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Glaubhaftmachungsmittel für einstweiligen Verfügungsantrag; Mandantin hat Entwurf erhalten und muss unterschreiben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Unterschrift 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Zeitkarte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Dauer (abrechenbar)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Erfasst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Sichtung Posteingang, Fristbewertung, beA-Journal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0,7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Schriftsatzantwort und Anlagenabgleich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0,9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Mandantengespräch Rückruf 20.05.2026, 11:30 Uhr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0,3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1,9 h</w:t>
            </w:r>
          </w:p>
        </w:tc>
        <w:tc>
          <w:tcPr>
            <w:tcW w:type="dxa" w:w="2268"/>
          </w:tcPr>
          <w:p/>
        </w:tc>
      </w:tr>
    </w:tbl>
    <w:p/>
    <w:p>
      <w:pPr>
        <w:jc w:val="left"/>
      </w:pPr>
      <w:r>
        <w:rPr>
          <w:i/>
        </w:rPr>
        <w:t>Dieses Canvas ist ein internes Arbeitsblatt der Kanzlei Jana Reuter und kein zugestellter Schriftsatz. Stand: 20.05.2026.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