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Kanzleikalender KW 21/2026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96"/>
        <w:gridCol w:w="1296"/>
        <w:gridCol w:w="1296"/>
        <w:gridCol w:w="1296"/>
        <w:gridCol w:w="1296"/>
        <w:gridCol w:w="1296"/>
        <w:gridCol w:w="1296"/>
      </w:tblGrid>
      <w:tr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Uhrzeit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Typ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Betreff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Verantwortlich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Vertretung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b/>
                <w:sz w:val="20"/>
              </w:rPr>
              <w:t>Hinweis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09:00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Tagesstart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Fristen, Post, Integrationen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Tom krank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Postlauf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beA-Journal und EB prüfen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Simulation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Schreiben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Schriftsatz Meyer ./. Kranz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Frist 23.05.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14:00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Buchhaltung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UStVA Mai vorbereiten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ELSTER nicht angeschlossen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20.05.2026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HR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Urlaub Mara, Krankheit Tom, Payroll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Lina Schott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Personalworkflow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21.05.2026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10:00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Jour fixe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Post, Fristen, HR, Rechnungen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Agenda offen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23.05.2026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12:00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Frist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Stellungnahme AG Mitte 12 C 88/26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Samstag prüfen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28.05.2026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15:00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Payroll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Lohn Mai vorbereiten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Mara Klein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Urlaubskonflikt</w:t>
            </w:r>
          </w:p>
        </w:tc>
      </w:tr>
      <w:tr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29.05.2026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11:00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UStVA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Mai 2026 vorbereiten</w:t>
            </w:r>
          </w:p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Jana Reuter</w:t>
            </w:r>
          </w:p>
        </w:tc>
        <w:tc>
          <w:tcPr>
            <w:tcW w:type="dxa" w:w="1296"/>
          </w:tcPr>
          <w:p/>
        </w:tc>
        <w:tc>
          <w:tcPr>
            <w:tcW w:type="dxa" w:w="1296"/>
          </w:tcPr>
          <w:p>
            <w:r>
              <w:rPr>
                <w:rFonts w:ascii="Times New Roman" w:hAnsi="Times New Roman"/>
                <w:sz w:val="20"/>
              </w:rPr>
              <w:t>Steuerberater-Rückfrage</w:t>
            </w:r>
          </w:p>
        </w:tc>
      </w:tr>
    </w:tbl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