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Aktenvermerk — Geschäftskonto-Simulation</w:t>
      </w:r>
    </w:p>
    <w:p>
      <w:pPr>
        <w:jc w:val="left"/>
      </w:pPr>
      <w:r>
        <w:rPr>
          <w:b/>
        </w:rPr>
        <w:t>Vermerk-Nr.:</w:t>
      </w:r>
      <w:r>
        <w:t xml:space="preserve"> BUCH-2026-0003</w:t>
      </w:r>
    </w:p>
    <w:p>
      <w:pPr>
        <w:jc w:val="left"/>
      </w:pPr>
      <w:r>
        <w:rPr>
          <w:b/>
        </w:rPr>
        <w:t>Datum:</w:t>
      </w:r>
      <w:r>
        <w:t xml:space="preserve"> 20.05.2026</w:t>
      </w:r>
    </w:p>
    <w:p>
      <w:pPr>
        <w:jc w:val="left"/>
      </w:pPr>
      <w:r>
        <w:rPr>
          <w:b/>
        </w:rPr>
        <w:t>Verfasserin:</w:t>
      </w:r>
      <w:r>
        <w:t xml:space="preserve"> Jana Reuter</w:t>
      </w:r>
    </w:p>
    <w:p/>
    <w:p>
      <w:pPr>
        <w:pStyle w:val="Heading2"/>
      </w:pPr>
      <w:r>
        <w:rPr>
          <w:rFonts w:ascii="Times New Roman" w:hAnsi="Times New Roman"/>
        </w:rPr>
        <w:t>1. Ausgangslage</w:t>
      </w:r>
    </w:p>
    <w:p>
      <w:pPr>
        <w:jc w:val="left"/>
      </w:pPr>
      <w:r>
        <w:t>Die Kanzlei Jana Reuter führt ein Geschäftskonto bei der Commerzbank AG (anonymisierte IBAN DE12 1004 0048 0012 3456 78, BIC COBADEFFXXX). Eine direkte technische Anbindung des Kontos an die Kanzleisoftware oder an ein Buchhaltungsprogramm besteht derzeit nicht.</w:t>
      </w:r>
    </w:p>
    <w:p>
      <w:pPr>
        <w:jc w:val="left"/>
      </w:pPr>
      <w:r>
        <w:t xml:space="preserve">Für die Zwecke der Akte wird das Konto durch die CSV-Datei </w:t>
      </w:r>
      <w:r>
        <w:t>geschaeftskonto_mai_2026.csv</w:t>
      </w:r>
      <w:r>
        <w:t xml:space="preserve"> simuliert, die typische Kontobewegungen des Monats Mai 2026 enthält (Zahlungseingänge von Mandanten, Daueraufträge, Ausgangsüberweisungen, ungeklärte Eingänge).</w:t>
      </w:r>
    </w:p>
    <w:p/>
    <w:p>
      <w:pPr>
        <w:pStyle w:val="Heading2"/>
      </w:pPr>
      <w:r>
        <w:rPr>
          <w:rFonts w:ascii="Times New Roman" w:hAnsi="Times New Roman"/>
        </w:rPr>
        <w:t>2. Systemgrenzen (was die Simulation nicht kann)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Einschränkung</w:t>
            </w:r>
          </w:p>
        </w:tc>
        <w:tc>
          <w:tcPr>
            <w:tcW w:type="dxa" w:w="4536"/>
          </w:tcPr>
          <w:p>
            <w:r>
              <w:rPr>
                <w:rFonts w:ascii="Times New Roman" w:hAnsi="Times New Roman"/>
                <w:b/>
                <w:sz w:val="20"/>
              </w:rPr>
              <w:t>Erläuterung</w:t>
            </w:r>
          </w:p>
        </w:tc>
      </w:tr>
      <w:tr>
        <w:tc>
          <w:tcPr>
            <w:tcW w:type="dxa" w:w="4536"/>
          </w:tcPr>
          <w:p>
            <w:r>
              <w:rPr>
                <w:rFonts w:ascii="Times New Roman" w:hAnsi="Times New Roman"/>
                <w:sz w:val="20"/>
              </w:rPr>
              <w:t>Keine echten Bankzugangsdaten</w:t>
            </w:r>
          </w:p>
        </w:tc>
        <w:tc>
          <w:tcPr>
            <w:tcW w:type="dxa" w:w="4536"/>
          </w:tcPr>
          <w:p>
            <w:r>
              <w:rPr>
                <w:rFonts w:ascii="Times New Roman" w:hAnsi="Times New Roman"/>
                <w:sz w:val="20"/>
              </w:rPr>
              <w:t>Es werden keine PIN/TAN, keine API-Tokens oder PSD2-Zugänge verwendet</w:t>
            </w:r>
          </w:p>
        </w:tc>
      </w:tr>
      <w:tr>
        <w:tc>
          <w:tcPr>
            <w:tcW w:type="dxa" w:w="4536"/>
          </w:tcPr>
          <w:p>
            <w:r>
              <w:rPr>
                <w:rFonts w:ascii="Times New Roman" w:hAnsi="Times New Roman"/>
                <w:sz w:val="20"/>
              </w:rPr>
              <w:t>Keine Zahlungsaufträge</w:t>
            </w:r>
          </w:p>
        </w:tc>
        <w:tc>
          <w:tcPr>
            <w:tcW w:type="dxa" w:w="4536"/>
          </w:tcPr>
          <w:p>
            <w:r>
              <w:rPr>
                <w:rFonts w:ascii="Times New Roman" w:hAnsi="Times New Roman"/>
                <w:sz w:val="20"/>
              </w:rPr>
              <w:t>Ausgehende Zahlungen können in der Simulation nicht ausgelöst werden</w:t>
            </w:r>
          </w:p>
        </w:tc>
      </w:tr>
      <w:tr>
        <w:tc>
          <w:tcPr>
            <w:tcW w:type="dxa" w:w="4536"/>
          </w:tcPr>
          <w:p>
            <w:r>
              <w:rPr>
                <w:rFonts w:ascii="Times New Roman" w:hAnsi="Times New Roman"/>
                <w:sz w:val="20"/>
              </w:rPr>
              <w:t>Keine Echtzeit-Daten</w:t>
            </w:r>
          </w:p>
        </w:tc>
        <w:tc>
          <w:tcPr>
            <w:tcW w:type="dxa" w:w="4536"/>
          </w:tcPr>
          <w:p>
            <w:r>
              <w:rPr>
                <w:rFonts w:ascii="Times New Roman" w:hAnsi="Times New Roman"/>
                <w:sz w:val="20"/>
              </w:rPr>
              <w:t>Der CSV-Datensatz ist statisch; er spiegelt den Stand 19.05.2026, 23:59 Uhr</w:t>
            </w:r>
          </w:p>
        </w:tc>
      </w:tr>
      <w:tr>
        <w:tc>
          <w:tcPr>
            <w:tcW w:type="dxa" w:w="4536"/>
          </w:tcPr>
          <w:p>
            <w:r>
              <w:rPr>
                <w:rFonts w:ascii="Times New Roman" w:hAnsi="Times New Roman"/>
                <w:sz w:val="20"/>
              </w:rPr>
              <w:t>Keine Buchungsendgültigkeit</w:t>
            </w:r>
          </w:p>
        </w:tc>
        <w:tc>
          <w:tcPr>
            <w:tcW w:type="dxa" w:w="4536"/>
          </w:tcPr>
          <w:p>
            <w:r>
              <w:rPr>
                <w:rFonts w:ascii="Times New Roman" w:hAnsi="Times New Roman"/>
                <w:sz w:val="20"/>
              </w:rPr>
              <w:t>Alle Zuordnungen sind Vorschläge; echte Buchung erfolgt durch Steuerberater oder DATEV</w:t>
            </w:r>
          </w:p>
        </w:tc>
      </w:tr>
      <w:tr>
        <w:tc>
          <w:tcPr>
            <w:tcW w:type="dxa" w:w="4536"/>
          </w:tcPr>
          <w:p>
            <w:r>
              <w:rPr>
                <w:rFonts w:ascii="Times New Roman" w:hAnsi="Times New Roman"/>
                <w:sz w:val="20"/>
              </w:rPr>
              <w:t>Kein SEPA-Lastschriftmandat</w:t>
            </w:r>
          </w:p>
        </w:tc>
        <w:tc>
          <w:tcPr>
            <w:tcW w:type="dxa" w:w="4536"/>
          </w:tcPr>
          <w:p>
            <w:r>
              <w:rPr>
                <w:rFonts w:ascii="Times New Roman" w:hAnsi="Times New Roman"/>
                <w:sz w:val="20"/>
              </w:rPr>
              <w:t>Automatischer Einzug von Mandantenforderungen nicht möglich</w:t>
            </w:r>
          </w:p>
        </w:tc>
      </w:tr>
    </w:tbl>
    <w:p/>
    <w:p>
      <w:pPr>
        <w:pStyle w:val="Heading2"/>
      </w:pPr>
      <w:r>
        <w:rPr>
          <w:rFonts w:ascii="Times New Roman" w:hAnsi="Times New Roman"/>
        </w:rPr>
        <w:t>3. Workflow — Schritte der Zahlungsabstimmung (Matching)</w:t>
      </w:r>
    </w:p>
    <w:p>
      <w:pPr>
        <w:pStyle w:val="Heading3"/>
      </w:pPr>
      <w:r>
        <w:rPr>
          <w:rFonts w:ascii="Times New Roman" w:hAnsi="Times New Roman"/>
        </w:rPr>
        <w:t>Schritt 1 — Kontoauszug importieren</w:t>
      </w:r>
    </w:p>
    <w:p>
      <w:pPr>
        <w:jc w:val="left"/>
      </w:pPr>
      <w:r>
        <w:t xml:space="preserve">Die Datei </w:t>
      </w:r>
      <w:r>
        <w:t>geschaeftskonto_mai_2026.csv</w:t>
      </w:r>
      <w:r>
        <w:t xml:space="preserve"> wird in die Arbeitsmappe geladen. Sie enthält folgende Spalten:</w:t>
      </w:r>
    </w:p>
    <w:p>
      <w:pPr>
        <w:pStyle w:val="ListBullet"/>
      </w:pPr>
      <w:r>
        <w:t>Buchungsdatum</w:t>
      </w:r>
    </w:p>
    <w:p>
      <w:pPr>
        <w:pStyle w:val="ListBullet"/>
      </w:pPr>
      <w:r>
        <w:t>Wertstellungsdatum</w:t>
      </w:r>
    </w:p>
    <w:p>
      <w:pPr>
        <w:pStyle w:val="ListBullet"/>
      </w:pPr>
      <w:r>
        <w:t>Auftraggeber / Empfänger</w:t>
      </w:r>
    </w:p>
    <w:p>
      <w:pPr>
        <w:pStyle w:val="ListBullet"/>
      </w:pPr>
      <w:r>
        <w:t>Verwendungszweck</w:t>
      </w:r>
    </w:p>
    <w:p>
      <w:pPr>
        <w:pStyle w:val="ListBullet"/>
      </w:pPr>
      <w:r>
        <w:t>Betrag (positiv = Eingang, negativ = Ausgang)</w:t>
      </w:r>
    </w:p>
    <w:p>
      <w:pPr>
        <w:pStyle w:val="ListBullet"/>
      </w:pPr>
      <w:r>
        <w:t>Saldo nach Buchung</w:t>
      </w:r>
    </w:p>
    <w:p>
      <w:pPr>
        <w:pStyle w:val="Heading3"/>
      </w:pPr>
      <w:r>
        <w:rPr>
          <w:rFonts w:ascii="Times New Roman" w:hAnsi="Times New Roman"/>
        </w:rPr>
        <w:t>Schritt 2 — Offene Posten laden</w:t>
      </w:r>
    </w:p>
    <w:p>
      <w:pPr>
        <w:jc w:val="left"/>
      </w:pPr>
      <w:r>
        <w:t xml:space="preserve">Die Datei </w:t>
      </w:r>
      <w:r>
        <w:t>offene_posten_debitoren.csv</w:t>
      </w:r>
      <w:r>
        <w:t xml:space="preserve"> enthält alle ausgestellten und noch nicht bezahlten Rechnungen: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Rechnungs-Nr.</w:t>
            </w:r>
          </w:p>
        </w:tc>
        <w:tc>
          <w:tcPr>
            <w:tcW w:type="dxa" w:w="2268"/>
          </w:tcPr>
          <w:p>
            <w:r>
              <w:rPr>
                <w:rFonts w:ascii="Times New Roman" w:hAnsi="Times New Roman"/>
                <w:b/>
                <w:sz w:val="20"/>
              </w:rPr>
              <w:t>Mandant</w:t>
            </w:r>
          </w:p>
        </w:tc>
        <w:tc>
          <w:tcPr>
            <w:tcW w:type="dxa" w:w="2268"/>
          </w:tcPr>
          <w:p>
            <w:r>
              <w:rPr>
                <w:rFonts w:ascii="Times New Roman" w:hAnsi="Times New Roman"/>
                <w:b/>
                <w:sz w:val="20"/>
              </w:rPr>
              <w:t>Betrag (Brutto)</w:t>
            </w:r>
          </w:p>
        </w:tc>
        <w:tc>
          <w:tcPr>
            <w:tcW w:type="dxa" w:w="2268"/>
          </w:tcPr>
          <w:p>
            <w:r>
              <w:rPr>
                <w:rFonts w:ascii="Times New Roman" w:hAnsi="Times New Roman"/>
                <w:b/>
                <w:sz w:val="20"/>
              </w:rPr>
              <w:t>Fällig am</w:t>
            </w:r>
          </w:p>
        </w:tc>
      </w:tr>
      <w:tr>
        <w:tc>
          <w:tcPr>
            <w:tcW w:type="dxa" w:w="2268"/>
          </w:tcPr>
          <w:p>
            <w:r>
              <w:rPr>
                <w:rFonts w:ascii="Times New Roman" w:hAnsi="Times New Roman"/>
                <w:sz w:val="20"/>
              </w:rPr>
              <w:t>R-2026-0004</w:t>
            </w:r>
          </w:p>
        </w:tc>
        <w:tc>
          <w:tcPr>
            <w:tcW w:type="dxa" w:w="2268"/>
          </w:tcPr>
          <w:p>
            <w:r>
              <w:rPr>
                <w:rFonts w:ascii="Times New Roman" w:hAnsi="Times New Roman"/>
                <w:sz w:val="20"/>
              </w:rPr>
              <w:t>Nordstern Verwaltungs-UG</w:t>
            </w:r>
          </w:p>
        </w:tc>
        <w:tc>
          <w:tcPr>
            <w:tcW w:type="dxa" w:w="2268"/>
          </w:tcPr>
          <w:p>
            <w:r>
              <w:rPr>
                <w:rFonts w:ascii="Times New Roman" w:hAnsi="Times New Roman"/>
                <w:sz w:val="20"/>
              </w:rPr>
              <w:t>1.047,20 EUR</w:t>
            </w:r>
          </w:p>
        </w:tc>
        <w:tc>
          <w:tcPr>
            <w:tcW w:type="dxa" w:w="2268"/>
          </w:tcPr>
          <w:p>
            <w:r>
              <w:rPr>
                <w:rFonts w:ascii="Times New Roman" w:hAnsi="Times New Roman"/>
                <w:sz w:val="20"/>
              </w:rPr>
              <w:t>05.05.2026</w:t>
            </w:r>
          </w:p>
        </w:tc>
      </w:tr>
      <w:tr>
        <w:tc>
          <w:tcPr>
            <w:tcW w:type="dxa" w:w="2268"/>
          </w:tcPr>
          <w:p>
            <w:r>
              <w:rPr>
                <w:rFonts w:ascii="Times New Roman" w:hAnsi="Times New Roman"/>
                <w:sz w:val="20"/>
              </w:rPr>
              <w:t>R-2026-0007</w:t>
            </w:r>
          </w:p>
        </w:tc>
        <w:tc>
          <w:tcPr>
            <w:tcW w:type="dxa" w:w="2268"/>
          </w:tcPr>
          <w:p>
            <w:r>
              <w:rPr>
                <w:rFonts w:ascii="Times New Roman" w:hAnsi="Times New Roman"/>
                <w:sz w:val="20"/>
              </w:rPr>
              <w:t>Clara Meyer</w:t>
            </w:r>
          </w:p>
        </w:tc>
        <w:tc>
          <w:tcPr>
            <w:tcW w:type="dxa" w:w="2268"/>
          </w:tcPr>
          <w:p>
            <w:r>
              <w:rPr>
                <w:rFonts w:ascii="Times New Roman" w:hAnsi="Times New Roman"/>
                <w:sz w:val="20"/>
              </w:rPr>
              <w:t>418,88 EUR</w:t>
            </w:r>
          </w:p>
        </w:tc>
        <w:tc>
          <w:tcPr>
            <w:tcW w:type="dxa" w:w="2268"/>
          </w:tcPr>
          <w:p>
            <w:r>
              <w:rPr>
                <w:rFonts w:ascii="Times New Roman" w:hAnsi="Times New Roman"/>
                <w:sz w:val="20"/>
              </w:rPr>
              <w:t>03.06.2026 (Entwurf)</w:t>
            </w:r>
          </w:p>
        </w:tc>
      </w:tr>
    </w:tbl>
    <w:p>
      <w:pPr>
        <w:pStyle w:val="Heading3"/>
      </w:pPr>
      <w:r>
        <w:rPr>
          <w:rFonts w:ascii="Times New Roman" w:hAnsi="Times New Roman"/>
        </w:rPr>
        <w:t>Schritt 3 — Automatisches Matching</w:t>
      </w:r>
    </w:p>
    <w:p>
      <w:pPr>
        <w:jc w:val="left"/>
      </w:pPr>
      <w:r>
        <w:t>Das System (oder der Bearbeiter manuell) gleicht Zahlungseingänge im Kontoauszug gegen offene Posten ab, primär anhand des Verwendungszwecks (Rechnungsnummer) und Betrags: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Kontoeingang</w:t>
            </w:r>
          </w:p>
        </w:tc>
        <w:tc>
          <w:tcPr>
            <w:tcW w:type="dxa" w:w="2268"/>
          </w:tcPr>
          <w:p>
            <w:r>
              <w:rPr>
                <w:rFonts w:ascii="Times New Roman" w:hAnsi="Times New Roman"/>
                <w:b/>
                <w:sz w:val="20"/>
              </w:rPr>
              <w:t>Betrag</w:t>
            </w:r>
          </w:p>
        </w:tc>
        <w:tc>
          <w:tcPr>
            <w:tcW w:type="dxa" w:w="2268"/>
          </w:tcPr>
          <w:p>
            <w:r>
              <w:rPr>
                <w:rFonts w:ascii="Times New Roman" w:hAnsi="Times New Roman"/>
                <w:b/>
                <w:sz w:val="20"/>
              </w:rPr>
              <w:t>Matched mit</w:t>
            </w:r>
          </w:p>
        </w:tc>
        <w:tc>
          <w:tcPr>
            <w:tcW w:type="dxa" w:w="2268"/>
          </w:tcPr>
          <w:p>
            <w:r>
              <w:rPr>
                <w:rFonts w:ascii="Times New Roman" w:hAnsi="Times New Roman"/>
                <w:b/>
                <w:sz w:val="20"/>
              </w:rPr>
              <w:t>Konfidenz</w:t>
            </w:r>
          </w:p>
        </w:tc>
      </w:tr>
      <w:tr>
        <w:tc>
          <w:tcPr>
            <w:tcW w:type="dxa" w:w="2268"/>
          </w:tcPr>
          <w:p>
            <w:r>
              <w:rPr>
                <w:rFonts w:ascii="Times New Roman" w:hAnsi="Times New Roman"/>
                <w:sz w:val="20"/>
              </w:rPr>
              <w:t>14.05.2026 — Alpha Grundstücks-UG, VWZ: R-2026-0005</w:t>
            </w:r>
          </w:p>
        </w:tc>
        <w:tc>
          <w:tcPr>
            <w:tcW w:type="dxa" w:w="2268"/>
          </w:tcPr>
          <w:p>
            <w:r>
              <w:rPr>
                <w:rFonts w:ascii="Times New Roman" w:hAnsi="Times New Roman"/>
                <w:sz w:val="20"/>
              </w:rPr>
              <w:t>1.832,60 EUR</w:t>
            </w:r>
          </w:p>
        </w:tc>
        <w:tc>
          <w:tcPr>
            <w:tcW w:type="dxa" w:w="2268"/>
          </w:tcPr>
          <w:p>
            <w:r>
              <w:rPr>
                <w:rFonts w:ascii="Times New Roman" w:hAnsi="Times New Roman"/>
                <w:sz w:val="20"/>
              </w:rPr>
              <w:t>R-2026-0005</w:t>
            </w:r>
          </w:p>
        </w:tc>
        <w:tc>
          <w:tcPr>
            <w:tcW w:type="dxa" w:w="2268"/>
          </w:tcPr>
          <w:p>
            <w:r>
              <w:rPr>
                <w:rFonts w:ascii="Times New Roman" w:hAnsi="Times New Roman"/>
                <w:sz w:val="20"/>
              </w:rPr>
              <w:t>hoch</w:t>
            </w:r>
          </w:p>
        </w:tc>
      </w:tr>
      <w:tr>
        <w:tc>
          <w:tcPr>
            <w:tcW w:type="dxa" w:w="2268"/>
          </w:tcPr>
          <w:p>
            <w:r>
              <w:rPr>
                <w:rFonts w:ascii="Times New Roman" w:hAnsi="Times New Roman"/>
                <w:sz w:val="20"/>
              </w:rPr>
              <w:t>08.05.2026 — Peter Sommer, VWZ: Meyer Rechnung</w:t>
            </w:r>
          </w:p>
        </w:tc>
        <w:tc>
          <w:tcPr>
            <w:tcW w:type="dxa" w:w="2268"/>
          </w:tcPr>
          <w:p>
            <w:r>
              <w:rPr>
                <w:rFonts w:ascii="Times New Roman" w:hAnsi="Times New Roman"/>
                <w:sz w:val="20"/>
              </w:rPr>
              <w:t>523,60 EUR</w:t>
            </w:r>
          </w:p>
        </w:tc>
        <w:tc>
          <w:tcPr>
            <w:tcW w:type="dxa" w:w="2268"/>
          </w:tcPr>
          <w:p>
            <w:r>
              <w:rPr>
                <w:rFonts w:ascii="Times New Roman" w:hAnsi="Times New Roman"/>
                <w:sz w:val="20"/>
              </w:rPr>
              <w:t>R-2026-0006</w:t>
            </w:r>
          </w:p>
        </w:tc>
        <w:tc>
          <w:tcPr>
            <w:tcW w:type="dxa" w:w="2268"/>
          </w:tcPr>
          <w:p>
            <w:r>
              <w:rPr>
                <w:rFonts w:ascii="Times New Roman" w:hAnsi="Times New Roman"/>
                <w:sz w:val="20"/>
              </w:rPr>
              <w:t>mittel (VWZ unscharf)</w:t>
            </w:r>
          </w:p>
        </w:tc>
      </w:tr>
      <w:tr>
        <w:tc>
          <w:tcPr>
            <w:tcW w:type="dxa" w:w="2268"/>
          </w:tcPr>
          <w:p>
            <w:r>
              <w:rPr>
                <w:rFonts w:ascii="Times New Roman" w:hAnsi="Times New Roman"/>
                <w:sz w:val="20"/>
              </w:rPr>
              <w:t>16.05.2026 — unbekannt, VWZ: "Beratung April"</w:t>
            </w:r>
          </w:p>
        </w:tc>
        <w:tc>
          <w:tcPr>
            <w:tcW w:type="dxa" w:w="2268"/>
          </w:tcPr>
          <w:p>
            <w:r>
              <w:rPr>
                <w:rFonts w:ascii="Times New Roman" w:hAnsi="Times New Roman"/>
                <w:sz w:val="20"/>
              </w:rPr>
              <w:t>228,00 EUR</w:t>
            </w:r>
          </w:p>
        </w:tc>
        <w:tc>
          <w:tcPr>
            <w:tcW w:type="dxa" w:w="2268"/>
          </w:tcPr>
          <w:p>
            <w:r>
              <w:rPr>
                <w:rFonts w:ascii="Times New Roman" w:hAnsi="Times New Roman"/>
                <w:sz w:val="20"/>
              </w:rPr>
              <w:t>kein Match</w:t>
            </w:r>
          </w:p>
        </w:tc>
        <w:tc>
          <w:tcPr>
            <w:tcW w:type="dxa" w:w="2268"/>
          </w:tcPr>
          <w:p>
            <w:r>
              <w:rPr>
                <w:rFonts w:ascii="Times New Roman" w:hAnsi="Times New Roman"/>
                <w:sz w:val="20"/>
              </w:rPr>
              <w:t>ungeklärt</w:t>
            </w:r>
          </w:p>
        </w:tc>
      </w:tr>
    </w:tbl>
    <w:p>
      <w:pPr>
        <w:pStyle w:val="Heading3"/>
      </w:pPr>
      <w:r>
        <w:rPr>
          <w:rFonts w:ascii="Times New Roman" w:hAnsi="Times New Roman"/>
        </w:rPr>
        <w:t>Schritt 4 — Klärfälle bearbeiten</w:t>
      </w:r>
    </w:p>
    <w:p>
      <w:pPr>
        <w:jc w:val="left"/>
      </w:pPr>
      <w:r>
        <w:rPr>
          <w:b/>
        </w:rPr>
        <w:t>Klärfall 228,00 EUR:</w:t>
      </w:r>
    </w:p>
    <w:p>
      <w:pPr>
        <w:jc w:val="left"/>
      </w:pPr>
      <w:r>
        <w:t>Eingang am 16.05.2026, Auftraggeber: "W. Lindner, Savignyplatz 11, 10627 Berlin", Verwendungszweck: "Beratung April". Kein offener Posten in dieser Höhe. Mögliche Szenarien:</w:t>
      </w:r>
    </w:p>
    <w:p>
      <w:pPr>
        <w:pStyle w:val="ListBullet"/>
      </w:pPr>
      <w:r>
        <w:t>Mandant aus früherer Beratung, Rechnung nicht vollständig erfasst — Rechnungsarchiv April prüfen.</w:t>
      </w:r>
    </w:p>
    <w:p>
      <w:pPr>
        <w:pStyle w:val="ListBullet"/>
      </w:pPr>
      <w:r>
        <w:t>Fremdgeld (Weiterleitung für Mandant erwartet) — sofort auf separates Anderkonto oder zumindest buchhalterisch trennen. Fremdgeldverdacht vermerken.</w:t>
      </w:r>
    </w:p>
    <w:p>
      <w:pPr>
        <w:pStyle w:val="ListBullet"/>
      </w:pPr>
      <w:r>
        <w:t>Irrtümliche Überweisung eines Dritten — Rückfrage erforderlich.</w:t>
      </w:r>
    </w:p>
    <w:p>
      <w:pPr>
        <w:jc w:val="left"/>
      </w:pPr>
      <w:r>
        <w:rPr>
          <w:b/>
        </w:rPr>
        <w:t>Maßnahme:</w:t>
      </w:r>
      <w:r>
        <w:t xml:space="preserve"> Jana Reuter prüft Rechnungsarchiv April 2026. Bis zur Klärung: Betrag als "ungeklärt" im DATEV-Übergabeblatt markieren.</w:t>
      </w:r>
    </w:p>
    <w:p>
      <w:pPr>
        <w:pStyle w:val="Heading3"/>
      </w:pPr>
      <w:r>
        <w:rPr>
          <w:rFonts w:ascii="Times New Roman" w:hAnsi="Times New Roman"/>
        </w:rPr>
        <w:t>Schritt 5 — Schwache Matches und manuelle Korrekturen</w:t>
      </w:r>
    </w:p>
    <w:p>
      <w:pPr>
        <w:jc w:val="left"/>
      </w:pPr>
      <w:r>
        <w:t>Schwache Matches (Konfidenz "mittel" oder "niedrig") werden manuell durch Jana Reuter oder Mara Klein bestätigt. Kein automatischer Buchungsabschluss.</w:t>
      </w:r>
    </w:p>
    <w:p>
      <w:pPr>
        <w:pStyle w:val="Heading3"/>
      </w:pPr>
      <w:r>
        <w:rPr>
          <w:rFonts w:ascii="Times New Roman" w:hAnsi="Times New Roman"/>
        </w:rPr>
        <w:t>Schritt 6 — DATEV-Übergabe vorbereiten</w:t>
      </w:r>
    </w:p>
    <w:p>
      <w:pPr>
        <w:jc w:val="left"/>
      </w:pPr>
      <w:r>
        <w:t>Nach Abschluss des Matchings wird ein Übergabe-Paket für die Steuerkanzlei Heinemann &amp; Partner vorbereitet. Dieses enthält:</w:t>
      </w:r>
    </w:p>
    <w:p>
      <w:pPr>
        <w:pStyle w:val="ListBullet"/>
      </w:pPr>
      <w:r>
        <w:t>Kontoauszug CSV (unveränderter Original-Export)</w:t>
      </w:r>
    </w:p>
    <w:p>
      <w:pPr>
        <w:pStyle w:val="ListBullet"/>
      </w:pPr>
      <w:r>
        <w:t>Matching-Ergebnis als Tabelle</w:t>
      </w:r>
    </w:p>
    <w:p>
      <w:pPr>
        <w:pStyle w:val="ListBullet"/>
      </w:pPr>
      <w:r>
        <w:t>Klärfall-Liste</w:t>
      </w:r>
    </w:p>
    <w:p>
      <w:pPr>
        <w:pStyle w:val="ListBullet"/>
      </w:pPr>
      <w:r>
        <w:t>Offene-Posten-Liste nach Abstimmung</w:t>
      </w:r>
    </w:p>
    <w:p/>
    <w:p>
      <w:pPr>
        <w:pStyle w:val="Heading2"/>
      </w:pPr>
      <w:r>
        <w:rPr>
          <w:rFonts w:ascii="Times New Roman" w:hAnsi="Times New Roman"/>
        </w:rPr>
        <w:t>4. Erwartetes Verhalten bei echter Bankanbindung (Zielzustand)</w:t>
      </w:r>
    </w:p>
    <w:p>
      <w:pPr>
        <w:jc w:val="left"/>
      </w:pPr>
      <w:r>
        <w:t>In einem vollständig integrierten System (z. B. DATEV-Online, Lexware, sevDesk) würde die Bankanbindung folgendes ermöglichen:</w:t>
      </w:r>
    </w:p>
    <w:p>
      <w:pPr>
        <w:pStyle w:val="ListBullet"/>
      </w:pPr>
      <w:r>
        <w:t>Automatischer MT940/CAMT.053-Import täglich</w:t>
      </w:r>
    </w:p>
    <w:p>
      <w:pPr>
        <w:pStyle w:val="ListBullet"/>
      </w:pPr>
      <w:r>
        <w:t>Regelbasiertes Matching anhand Verwendungszweck, IBAN, Betrag</w:t>
      </w:r>
    </w:p>
    <w:p>
      <w:pPr>
        <w:pStyle w:val="ListBullet"/>
      </w:pPr>
      <w:r>
        <w:t>Automatische Buchen nach Freigabe</w:t>
      </w:r>
    </w:p>
    <w:p>
      <w:pPr>
        <w:pStyle w:val="ListBullet"/>
      </w:pPr>
      <w:r>
        <w:t>Echtzeit-Saldoanzeige in der Kanzleisoftware</w:t>
      </w:r>
    </w:p>
    <w:p>
      <w:pPr>
        <w:pStyle w:val="ListBullet"/>
      </w:pPr>
      <w:r>
        <w:t>Liquiditätsplanung auf Basis offener Forderungen und Kontostand</w:t>
      </w:r>
    </w:p>
    <w:p>
      <w:pPr>
        <w:jc w:val="left"/>
      </w:pPr>
      <w:r>
        <w:t>Die Akte bildet diesen Zielzustand mit statischen Unterlagen ab und arbeitet ohne Bankzugriff.</w:t>
      </w:r>
    </w:p>
    <w:p/>
    <w:p>
      <w:pPr>
        <w:pStyle w:val="Heading2"/>
      </w:pPr>
      <w:r>
        <w:rPr>
          <w:rFonts w:ascii="Times New Roman" w:hAnsi="Times New Roman"/>
        </w:rPr>
        <w:t>5. Datenschutz und Datensicherheit</w:t>
      </w:r>
    </w:p>
    <w:p>
      <w:pPr>
        <w:jc w:val="left"/>
      </w:pPr>
      <w:r>
        <w:t xml:space="preserve">Die CSV-Dateien im Ordner </w:t>
      </w:r>
      <w:r>
        <w:t>09_buchhaltung_konto/</w:t>
      </w:r>
      <w:r>
        <w:t xml:space="preserve"> enthalten ausschließlich bereitgestellte Buchungsdaten. Im Mandat gelten folgende Anforderungen:</w:t>
      </w:r>
    </w:p>
    <w:p>
      <w:pPr>
        <w:pStyle w:val="ListBullet"/>
      </w:pPr>
      <w:r>
        <w:t>Zugriffsschutz: Bankkontodaten nur für Jana Reuter und autorisierte Personen (Steuerberater)</w:t>
      </w:r>
    </w:p>
    <w:p>
      <w:pPr>
        <w:pStyle w:val="ListBullet"/>
      </w:pPr>
      <w:r>
        <w:t>Verschlüsselung: Kontoauszüge verschlüsselt ablegen (AES-256 oder vergleichbar)</w:t>
      </w:r>
    </w:p>
    <w:p>
      <w:pPr>
        <w:pStyle w:val="ListBullet"/>
      </w:pPr>
      <w:r>
        <w:t>Aufbewahrung: § 147 Abs. 1 AO — 10 Jahre</w:t>
      </w:r>
    </w:p>
    <w:p>
      <w:pPr>
        <w:pStyle w:val="ListBullet"/>
      </w:pPr>
      <w:r>
        <w:t>Löschung: Arbeitsdaten können jederzeit gelöscht werden; Mandatsdaten nicht ohne Prüfung der Aufbewahrungsfrist</w:t>
      </w:r>
    </w:p>
    <w:p/>
    <w:p>
      <w:pPr>
        <w:jc w:val="left"/>
      </w:pPr>
      <w:r>
        <w:rPr>
          <w:i/>
        </w:rPr>
        <w:t>Aktenvermerk BUCH-2026-0003 — Erstellt: 20.05.2026 — Jana Reuter, Kanzlei Reuter Rechtsanwälte, Lindenstraße 14, 10969 Berlin. Aktenstand.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