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Qualitätsgate-Erwartung für Output-Turbo</w:t>
      </w:r>
    </w:p>
    <w:p>
      <w:pPr>
        <w:pStyle w:val="Heading2"/>
      </w:pPr>
      <w:r>
        <w:rPr>
          <w:rFonts w:ascii="Times New Roman" w:hAnsi="Times New Roman"/>
        </w:rPr>
        <w:t>Mindestprüfung bei Klage oder Replik</w:t>
      </w:r>
    </w:p>
    <w:p>
      <w:pPr>
        <w:pStyle w:val="ListBullet"/>
      </w:pPr>
      <w:r>
        <w:t>Antrag ist vollstreckungsfähig oder der Entwurf markiert, warum noch nicht.</w:t>
      </w:r>
    </w:p>
    <w:p>
      <w:pPr>
        <w:pStyle w:val="ListBullet"/>
      </w:pPr>
      <w:r>
        <w:t>Zuständigkeit und Streitwert sind geprüft oder als Offen mit konkreter Rückfrage markiert.</w:t>
      </w:r>
    </w:p>
    <w:p>
      <w:pPr>
        <w:pStyle w:val="ListBullet"/>
      </w:pPr>
      <w:r>
        <w:t>Parteibezeichnung ist gegen Handelsregisterabruf oder Aktenquelle geprüft.</w:t>
      </w:r>
    </w:p>
    <w:p>
      <w:pPr>
        <w:pStyle w:val="ListBullet"/>
      </w:pPr>
      <w:r>
        <w:t>Anspruchsgrundlage, Tatsachen und Beweise sind getrennt.</w:t>
      </w:r>
    </w:p>
    <w:p>
      <w:pPr>
        <w:pStyle w:val="ListBullet"/>
      </w:pPr>
      <w:r>
        <w:t>Jede erhebliche Behauptung hat eine Quelle oder einen offenen Punkt.</w:t>
      </w:r>
    </w:p>
    <w:p>
      <w:pPr>
        <w:pStyle w:val="ListBullet"/>
      </w:pPr>
      <w:r>
        <w:t>Anlagen sind nummeriert, erwähnt und datenschutzarm vorbereitet.</w:t>
      </w:r>
    </w:p>
    <w:p>
      <w:pPr>
        <w:pStyle w:val="ListBullet"/>
      </w:pPr>
      <w:r>
        <w:t>Frist, Signatur, Vollmacht, beA-Versand und Versandprotokoll sind geprüft.</w:t>
      </w:r>
    </w:p>
    <w:p>
      <w:pPr>
        <w:pStyle w:val="ListBullet"/>
      </w:pPr>
      <w:r>
        <w:t>Unklare Punkte werden nicht erfunden, sondern offen und handhabbar gemacht.</w:t>
      </w:r>
    </w:p>
    <w:p>
      <w:pPr>
        <w:pStyle w:val="Heading2"/>
      </w:pPr>
      <w:r>
        <w:rPr>
          <w:rFonts w:ascii="Times New Roman" w:hAnsi="Times New Roman"/>
        </w:rPr>
        <w:t>Mindestprüfung bei Vertragsentwurf</w:t>
      </w:r>
    </w:p>
    <w:p>
      <w:pPr>
        <w:pStyle w:val="ListBullet"/>
      </w:pPr>
      <w:r>
        <w:t>Parteien, Vertretung und Registerdaten sind plausibel.</w:t>
      </w:r>
    </w:p>
    <w:p>
      <w:pPr>
        <w:pStyle w:val="ListBullet"/>
      </w:pPr>
      <w:r>
        <w:t>Leistung, Gegenleistung, Fälligkeit und Laufzeit sind konkret.</w:t>
      </w:r>
    </w:p>
    <w:p>
      <w:pPr>
        <w:pStyle w:val="ListBullet"/>
      </w:pPr>
      <w:r>
        <w:t>Haftung, Datenschutz, Vertraulichkeit und Berufsgeheimnis sind sichtbar geregelt.</w:t>
      </w:r>
    </w:p>
    <w:p>
      <w:pPr>
        <w:pStyle w:val="ListBullet"/>
      </w:pPr>
      <w:r>
        <w:t>Anlagen sind genannt und inhaltlich angefordert.</w:t>
      </w:r>
    </w:p>
    <w:p>
      <w:pPr>
        <w:pStyle w:val="ListBullet"/>
      </w:pPr>
      <w:r>
        <w:t>Verhandlungspunkte sind markiert.</w:t>
      </w:r>
    </w:p>
    <w:p>
      <w:pPr>
        <w:pStyle w:val="ListBullet"/>
      </w:pPr>
      <w:r>
        <w:t>Keine Standardklausel wird übernommen, wenn sie zum konkreten Geschäft nicht passt.</w:t>
      </w:r>
    </w:p>
    <w:p>
      <w:pPr>
        <w:pStyle w:val="Heading2"/>
      </w:pPr>
      <w:r>
        <w:rPr>
          <w:rFonts w:ascii="Times New Roman" w:hAnsi="Times New Roman"/>
        </w:rPr>
        <w:t>Anfänger-Auffangmodus</w:t>
      </w:r>
    </w:p>
    <w:p>
      <w:pPr>
        <w:jc w:val="left"/>
      </w:pPr>
      <w:r>
        <w:t>Wenn der Nutzer nur Rohtext liefert:</w:t>
      </w:r>
    </w:p>
    <w:p>
      <w:pPr>
        <w:pStyle w:val="ListNumber"/>
      </w:pPr>
      <w:r>
        <w:t>Sofort eine brauchbare Struktur vorschlagen.</w:t>
      </w:r>
    </w:p>
    <w:p>
      <w:pPr>
        <w:pStyle w:val="ListNumber"/>
      </w:pPr>
      <w:r>
        <w:t>Maximal drei wichtigste Rückfragen stellen.</w:t>
      </w:r>
    </w:p>
    <w:p>
      <w:pPr>
        <w:pStyle w:val="ListNumber"/>
      </w:pPr>
      <w:r>
        <w:t>Fehlendes als Offen im Dokument markieren.</w:t>
      </w:r>
    </w:p>
    <w:p>
      <w:pPr>
        <w:pStyle w:val="ListNumber"/>
      </w:pPr>
      <w:r>
        <w:t>Einen nächsten konkreten Arbeitsschritt anbieten.</w:t>
      </w:r>
    </w:p>
    <w:p>
      <w:pPr>
        <w:pStyle w:val="Heading2"/>
      </w:pPr>
      <w:r>
        <w:rPr>
          <w:rFonts w:ascii="Times New Roman" w:hAnsi="Times New Roman"/>
        </w:rPr>
        <w:t>Profi-Härtung</w:t>
      </w:r>
    </w:p>
    <w:p>
      <w:pPr>
        <w:jc w:val="left"/>
      </w:pPr>
      <w:r>
        <w:t>Wenn der Entwurf schon gut ist:</w:t>
      </w:r>
    </w:p>
    <w:p>
      <w:pPr>
        <w:pStyle w:val="ListNumber"/>
      </w:pPr>
      <w:r>
        <w:t>Angriffspunkte der Gegenseite antizipieren.</w:t>
      </w:r>
    </w:p>
    <w:p>
      <w:pPr>
        <w:pStyle w:val="ListNumber"/>
      </w:pPr>
      <w:r>
        <w:t>Darlegungs- und Beweislast prüfen.</w:t>
      </w:r>
    </w:p>
    <w:p>
      <w:pPr>
        <w:pStyle w:val="ListNumber"/>
      </w:pPr>
      <w:r>
        <w:t>Anlagenreihenfolge und Querverweise verdichten.</w:t>
      </w:r>
    </w:p>
    <w:p>
      <w:pPr>
        <w:pStyle w:val="ListNumber"/>
      </w:pPr>
      <w:r>
        <w:t>Formulierungen kürzen, ohne Substanz zu verlieren.</w:t>
      </w:r>
    </w:p>
    <w:p>
      <w:pPr>
        <w:pStyle w:val="ListNumber"/>
      </w:pPr>
      <w:r>
        <w:t>Versand-, Frist- und Folgeworkflow anschließen.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