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Erwartetes Fundstellenregister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Amtliche Bundesgerichtsentscheidung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 verwertbare Leitentscheidung oder tragende Gründe zu Werkvertrag, Abnahme, Rücktritt oder Substantiierung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Obergericht oder Landesrechtsprechungsdatenbank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brauchbare Übertragung auf Webseiten-/Softwareprojekt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 zugunsten Auftragnehmer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 für Teilleistung, Change Requests oder fehlende Nachfrist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OpenJur/dejure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ergänzende Fundstelle, Vernetzung oder Hinweis auf Parallelrechtsprechung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Prüfpunkte</w:t>
      </w:r>
    </w:p>
    <w:p>
      <w:pPr>
        <w:pStyle w:val="ListBullet"/>
      </w:pPr>
      <w:r>
        <w:t>Amtliche Fassung bevorzugt.</w:t>
      </w:r>
    </w:p>
    <w:p>
      <w:pPr>
        <w:pStyle w:val="ListBullet"/>
      </w:pPr>
      <w:r>
        <w:t>dejure/OpenJur nicht als einzige Quelle zitieren, wenn amtlicher Volltext erreichbar ist.</w:t>
      </w:r>
    </w:p>
    <w:p>
      <w:pPr>
        <w:pStyle w:val="ListBullet"/>
      </w:pPr>
      <w:r>
        <w:t>Rn. oder Seitenangabe festhalten.</w:t>
      </w:r>
    </w:p>
    <w:p>
      <w:pPr>
        <w:pStyle w:val="ListBullet"/>
      </w:pPr>
      <w:r>
        <w:t>Spätere Rechtsprechung suchen.</w:t>
      </w:r>
    </w:p>
    <w:p>
      <w:pPr>
        <w:pStyle w:val="ListBullet"/>
      </w:pPr>
      <w:r>
        <w:t xml:space="preserve">Ergebnis an </w:t>
      </w:r>
      <w:r>
        <w:t>kanzlei-allgemein-schriftsatz-turbo</w:t>
      </w:r>
      <w:r>
        <w:t xml:space="preserve"> übergeben.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