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Erwartung Mandatsannahme/GwG</w:t>
      </w:r>
    </w:p>
    <w:p>
      <w:pPr>
        <w:pStyle w:val="Heading2"/>
      </w:pPr>
      <w:r>
        <w:rPr>
          <w:rFonts w:ascii="Times New Roman" w:hAnsi="Times New Roman"/>
        </w:rPr>
        <w:t>Sofortbewertung</w:t>
      </w:r>
    </w:p>
    <w:p>
      <w:pPr>
        <w:pStyle w:val="ListBullet"/>
      </w:pPr>
      <w:r>
        <w:t>Mandat nicht sofort als angenommen markieren.</w:t>
      </w:r>
    </w:p>
    <w:p>
      <w:pPr>
        <w:pStyle w:val="ListBullet"/>
      </w:pPr>
      <w:r>
        <w:t>Kataloggeschäft nach § 2 Abs. 1 Nr. 10 GwG wahrscheinlich, weil Gesellschaftsanteile, Immobilienbezug und mögliche Transaktionsbegleitung vorliegen.</w:t>
      </w:r>
    </w:p>
    <w:p>
      <w:pPr>
        <w:pStyle w:val="ListBullet"/>
      </w:pPr>
      <w:r>
        <w:t>Identifizierung der natürlichen Person und der auftretenden Person erforderlich.</w:t>
      </w:r>
    </w:p>
    <w:p>
      <w:pPr>
        <w:pStyle w:val="ListBullet"/>
      </w:pPr>
      <w:r>
        <w:t>wirtschaftlich Berechtigte des Erwerbs, der Stiftung und der Zielstruktur klären.</w:t>
      </w:r>
    </w:p>
    <w:p>
      <w:pPr>
        <w:pStyle w:val="ListBullet"/>
      </w:pPr>
      <w:r>
        <w:t>PEP-Frage nicht aus Adelstitel ableiten, sondern öffentliches Amt, Familiennähe und nahestehende Personen gezielt abfragen.</w:t>
      </w:r>
    </w:p>
    <w:p>
      <w:pPr>
        <w:pStyle w:val="ListBullet"/>
      </w:pPr>
      <w:r>
        <w:t>Mittelherkunft wegen Darlehen einer Familienstiftung klären.</w:t>
      </w:r>
    </w:p>
    <w:p>
      <w:pPr>
        <w:pStyle w:val="ListBullet"/>
      </w:pPr>
      <w:r>
        <w:t>Family-Office-Zeitdruck als Risikofaktor markieren.</w:t>
      </w:r>
    </w:p>
    <w:p>
      <w:pPr>
        <w:pStyle w:val="Heading2"/>
      </w:pPr>
      <w:r>
        <w:rPr>
          <w:rFonts w:ascii="Times New Roman" w:hAnsi="Times New Roman"/>
        </w:rPr>
        <w:t>Aktenanlage</w:t>
      </w:r>
    </w:p>
    <w:p>
      <w:pPr>
        <w:pStyle w:val="ListBullet"/>
      </w:pPr>
      <w:r>
        <w:t xml:space="preserve">Aktenzeichen </w:t>
      </w:r>
      <w:r>
        <w:t>JR-2026-021</w:t>
      </w:r>
      <w:r>
        <w:t xml:space="preserve"> vorschlagen.</w:t>
      </w:r>
    </w:p>
    <w:p>
      <w:pPr>
        <w:pStyle w:val="ListBullet"/>
      </w:pPr>
      <w:r>
        <w:t xml:space="preserve">Geschützten Unterordner </w:t>
      </w:r>
      <w:r>
        <w:t>00_mandatsannahme_gwg</w:t>
      </w:r>
      <w:r>
        <w:t xml:space="preserve"> anlegen.</w:t>
      </w:r>
    </w:p>
    <w:p>
      <w:pPr>
        <w:pStyle w:val="ListBullet"/>
      </w:pPr>
      <w:r>
        <w:t>Ausweiskopie nur als vorhanden vermerken, nicht vollständig transkribieren.</w:t>
      </w:r>
    </w:p>
    <w:p>
      <w:pPr>
        <w:pStyle w:val="ListBullet"/>
      </w:pPr>
      <w:r>
        <w:t xml:space="preserve">Handelsregisterabruf über </w:t>
      </w:r>
      <w:r>
        <w:t>kanzlei-allgemein-handelsregisterabruf</w:t>
      </w:r>
      <w:r>
        <w:t xml:space="preserve"> simulieren oder echt anfordern.</w:t>
      </w:r>
    </w:p>
    <w:p>
      <w:pPr>
        <w:pStyle w:val="ListBullet"/>
      </w:pPr>
      <w:r>
        <w:t>Mandatskontoblatt, Vorschuss und Honorarweg vorbereiten.</w:t>
      </w:r>
    </w:p>
    <w:p>
      <w:pPr>
        <w:pStyle w:val="Heading2"/>
      </w:pPr>
      <w:r>
        <w:rPr>
          <w:rFonts w:ascii="Times New Roman" w:hAnsi="Times New Roman"/>
        </w:rPr>
        <w:t>Entscheidung</w:t>
      </w:r>
    </w:p>
    <w:p>
      <w:pPr>
        <w:pStyle w:val="ListBullet"/>
      </w:pPr>
      <w:r>
        <w:t>Status: Annahme nur nach Nachreichung und Berufsträgerfreigabe.</w:t>
      </w:r>
    </w:p>
    <w:p>
      <w:pPr>
        <w:pStyle w:val="ListBullet"/>
      </w:pPr>
      <w:r>
        <w:t>Fehlend: PEP-Erklärung, Mittelherkunft, wirtschaftlich Berechtigte, Vertretungsmacht Mara Seidel, Stiftungsschema, Transaktionsrolle der Kanzlei.</w:t>
      </w:r>
    </w:p>
    <w:p>
      <w:pPr>
        <w:pStyle w:val="ListBullet"/>
      </w:pPr>
      <w:r>
        <w:t>Verdachtsmeldung: noch nicht, aber Verdachtsprüfung offen halten, falls Angaben verweigert oder widersprüchlich bleiben.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