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Erwartung Mandatsvereinbarung</w:t>
      </w:r>
    </w:p>
    <w:p>
      <w:pPr>
        <w:pStyle w:val="Heading2"/>
      </w:pPr>
      <w:r>
        <w:rPr>
          <w:rFonts w:ascii="Times New Roman" w:hAnsi="Times New Roman"/>
        </w:rPr>
        <w:t>Bausteine</w:t>
      </w:r>
    </w:p>
    <w:p>
      <w:pPr>
        <w:pStyle w:val="ListBullet"/>
      </w:pPr>
      <w:r>
        <w:t>Mandatsumfang: Beratung zum Anteilserwerb und Immobilienbezug, keine Treuhand, keine Verwahrung von Fremdgeld ohne gesonderte Vereinbarung.</w:t>
      </w:r>
    </w:p>
    <w:p>
      <w:pPr>
        <w:pStyle w:val="ListBullet"/>
      </w:pPr>
      <w:r>
        <w:t>Honorar: 420 EUR netto je Stunde, Vorschuss 5.000 EUR netto.</w:t>
      </w:r>
    </w:p>
    <w:p>
      <w:pPr>
        <w:pStyle w:val="ListBullet"/>
      </w:pPr>
      <w:r>
        <w:t>Haftungsbegrenzung: nur als prüfpflichtiger, gesondert zu vereinbarender Baustein.</w:t>
      </w:r>
    </w:p>
    <w:p>
      <w:pPr>
        <w:pStyle w:val="ListBullet"/>
      </w:pPr>
      <w:r>
        <w:t>Datenschutz: Mandatsanbahnung, Mandatsdurchführung, Abrechnung, Konfliktprüfung, GwG-Dokumentation.</w:t>
      </w:r>
    </w:p>
    <w:p>
      <w:pPr>
        <w:pStyle w:val="ListBullet"/>
      </w:pPr>
      <w:r>
        <w:t>KI-Hinweis: Kanzlei kann KI-gestützte Systeme als Hilfsmittel einsetzen; anwaltliche Prüfung bleibt bei der Kanzlei; Details in Datenschutzhinweisen.</w:t>
      </w:r>
    </w:p>
    <w:p>
      <w:pPr>
        <w:pStyle w:val="ListBullet"/>
      </w:pPr>
      <w:r>
        <w:t>GwG-Mitwirkung: Identifizierung, wirtschaftlich Berechtigte, Mittelherkunft, PEP-Angaben, Register- und Strukturunterlagen.</w:t>
      </w:r>
    </w:p>
    <w:p>
      <w:pPr>
        <w:pStyle w:val="Heading2"/>
      </w:pPr>
      <w:r>
        <w:rPr>
          <w:rFonts w:ascii="Times New Roman" w:hAnsi="Times New Roman"/>
        </w:rPr>
        <w:t>Nicht erlaubt</w:t>
      </w:r>
    </w:p>
    <w:p>
      <w:pPr>
        <w:pStyle w:val="ListBullet"/>
      </w:pPr>
      <w:r>
        <w:t>Keine Garantie, dass KI-Anbieter berufsrechtlich geprüft sind, wenn kein konkreter Anbieter aktenkundig ist.</w:t>
      </w:r>
    </w:p>
    <w:p>
      <w:pPr>
        <w:pStyle w:val="ListBullet"/>
      </w:pPr>
      <w:r>
        <w:t>Keine Mandatsannahme trotz offener GwG-Punkte.</w:t>
      </w:r>
    </w:p>
    <w:p>
      <w:pPr>
        <w:pStyle w:val="ListBullet"/>
      </w:pPr>
      <w:r>
        <w:t>Keine Annahme von Fremdgeld oder Drittzahlungen ohne gesonderte Prüfung.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