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Kommandocenter — Schnellstart-Anleitung</w:t>
      </w:r>
    </w:p>
    <w:p>
      <w:pPr>
        <w:jc w:val="left"/>
      </w:pPr>
      <w:r>
        <w:rPr>
          <w:b/>
        </w:rPr>
        <w:t>Dokument:</w:t>
      </w:r>
      <w:r>
        <w:t xml:space="preserve"> KZ-2026-INST-001</w:t>
      </w:r>
    </w:p>
    <w:p>
      <w:pPr>
        <w:jc w:val="left"/>
      </w:pPr>
      <w:r>
        <w:rPr>
          <w:b/>
        </w:rPr>
        <w:t>Erstellt:</w:t>
      </w:r>
      <w:r>
        <w:t xml:space="preserve"> 20.05.2026</w:t>
      </w:r>
    </w:p>
    <w:p>
      <w:pPr>
        <w:jc w:val="left"/>
      </w:pPr>
      <w:r>
        <w:rPr>
          <w:b/>
        </w:rPr>
        <w:t>Verfasserin:</w:t>
      </w:r>
      <w:r>
        <w:t xml:space="preserve"> Jana Reuter</w:t>
      </w:r>
    </w:p>
    <w:p>
      <w:pPr>
        <w:jc w:val="left"/>
      </w:pPr>
      <w:r>
        <w:rPr>
          <w:b/>
        </w:rPr>
        <w:t>Zweck:</w:t>
      </w:r>
      <w:r>
        <w:t xml:space="preserve"> Einführungsleitfaden und erwartetes Systemverhalten beim ersten Aufruf des Kanzlei-Assistenten in einem neuen Mandat oder einer Routineaufgabe</w:t>
      </w:r>
    </w:p>
    <w:p/>
    <w:p>
      <w:pPr>
        <w:pStyle w:val="Heading2"/>
      </w:pPr>
      <w:r>
        <w:rPr>
          <w:rFonts w:ascii="Times New Roman" w:hAnsi="Times New Roman"/>
        </w:rPr>
        <w:t>1. Was ist das Kommandocenter?</w:t>
      </w:r>
    </w:p>
    <w:p>
      <w:pPr>
        <w:jc w:val="left"/>
      </w:pPr>
      <w:r>
        <w:t>Das Kommandocenter ist die zentrale Eingabe-Schnittstelle der Kanzlei, über die alle Kanzleiaufgaben — Aktenanlage, Fristberechnung, Schriftsatzentwurf, GwG-Prüfung, Zeiterfassung, Buchhaltung, HR — angestoßen werden. Es nimmt formlose Nutzereingaben entgegen und leitet die Aufgaben strukturiert an die richtigen Arbeitsbereiche weiter.</w:t>
      </w:r>
    </w:p>
    <w:p/>
    <w:p>
      <w:pPr>
        <w:pStyle w:val="Heading2"/>
      </w:pPr>
      <w:r>
        <w:rPr>
          <w:rFonts w:ascii="Times New Roman" w:hAnsi="Times New Roman"/>
        </w:rPr>
        <w:t>2. Beispiel-Nutzereingabe (Mischauftrag)</w:t>
      </w:r>
    </w:p>
    <w:p>
      <w:pPr>
        <w:ind w:left="567"/>
      </w:pPr>
      <w:r>
        <w:rPr>
          <w:b/>
          <w:i/>
        </w:rPr>
        <w:t>Nutzer:</w:t>
      </w:r>
      <w:r>
        <w:rPr>
          <w:i/>
        </w:rPr>
        <w:t xml:space="preserve"> "Ich habe eine neue Sache, wahrscheinlich Anteilskauf mit Immobilienbezug, Mandant schickt Ausweis und Registerauszug, Frist nächste Woche, bitte Akte anlegen, GwG prüfen und später eine Replik in einer anderen Sache vorbereiten."</w:t>
      </w:r>
    </w:p>
    <w:p/>
    <w:p>
      <w:pPr>
        <w:pStyle w:val="Heading2"/>
      </w:pPr>
      <w:r>
        <w:rPr>
          <w:rFonts w:ascii="Times New Roman" w:hAnsi="Times New Roman"/>
        </w:rPr>
        <w:t>3. Erwartetes Systemverhalten — Schritt für Schritt</w:t>
      </w:r>
    </w:p>
    <w:p>
      <w:pPr>
        <w:pStyle w:val="Heading3"/>
      </w:pPr>
      <w:r>
        <w:rPr>
          <w:rFonts w:ascii="Times New Roman" w:hAnsi="Times New Roman"/>
        </w:rPr>
        <w:t>3.1 Ampel-Bewertung Mandatsannahme / GwG</w:t>
      </w:r>
    </w:p>
    <w:p>
      <w:pPr>
        <w:jc w:val="left"/>
      </w:pPr>
      <w:r>
        <w:t>Das System gibt sofort eine Ampel-Bewertung für die Mandatsannahme nach dem Geldwäschegesetz (GwG) aus:</w:t>
      </w:r>
    </w:p>
    <w:p>
      <w:pPr>
        <w:jc w:val="left"/>
      </w:pPr>
      <w:r>
        <w:rPr>
          <w:b/>
        </w:rPr>
        <w:t>Ampel GELB</w:t>
      </w:r>
      <w:r>
        <w:t xml:space="preserve"> — Mandate mit erhöhtem Prüfaufwand (Anteilskauf mit Immobilienbezug):</w:t>
      </w:r>
    </w:p>
    <w:p>
      <w:pPr>
        <w:jc w:val="left"/>
      </w:pPr>
      <w:r>
        <w:t>Anteilskäufe mit Grundstücksbezug sind nach § 2 Abs. 1 Nr. 7 und Nr. 10 GwG geldwäscherechtlich relevant. Vor Mandatsannahme ist eine Identifizierung des Mandanten und der wirtschaftlich Berechtigten erforderlich.</w:t>
      </w:r>
    </w:p>
    <w:p>
      <w:pPr>
        <w:jc w:val="left"/>
      </w:pPr>
      <w:r>
        <w:t xml:space="preserve">Bei Hinweisen auf PEP-Status (politisch exponierte Person) oder Hochrisikoland → automatisch </w:t>
      </w:r>
      <w:r>
        <w:rPr>
          <w:b/>
        </w:rPr>
        <w:t>ROT</w:t>
      </w:r>
      <w:r>
        <w:t>.</w:t>
      </w:r>
    </w:p>
    <w:p>
      <w:pPr>
        <w:pStyle w:val="Heading3"/>
      </w:pPr>
      <w:r>
        <w:rPr>
          <w:rFonts w:ascii="Times New Roman" w:hAnsi="Times New Roman"/>
        </w:rPr>
        <w:t>3.2 Drei gezielte Rückfragen (nicht mehr)</w:t>
      </w:r>
    </w:p>
    <w:p>
      <w:pPr>
        <w:jc w:val="left"/>
      </w:pPr>
      <w:r>
        <w:t>Das System stellt exakt drei Rückfragen — keine langen Checklisten, keine Skill-Aufzählung:</w:t>
      </w:r>
    </w:p>
    <w:p>
      <w:pPr>
        <w:pStyle w:val="ListNumber"/>
      </w:pPr>
      <w:r>
        <w:rPr>
          <w:b/>
        </w:rPr>
        <w:t>Handelt der Mandant auf eigene Rechnung?</w:t>
      </w:r>
    </w:p>
    <w:p>
      <w:pPr>
        <w:jc w:val="left"/>
      </w:pPr>
      <w:r>
        <w:t>(Relevant für: wirtschaftlich Berechtigter nach § 3 GwG; bei Handeln für Dritte gelten verstärkte Sorgfaltspflichten)</w:t>
      </w:r>
    </w:p>
    <w:p>
      <w:pPr>
        <w:pStyle w:val="ListNumber"/>
      </w:pPr>
      <w:r>
        <w:rPr>
          <w:b/>
        </w:rPr>
        <w:t>Wer sind die wirtschaftlich Berechtigten, und gibt es PEP-Bezug?</w:t>
      </w:r>
    </w:p>
    <w:p>
      <w:pPr>
        <w:jc w:val="left"/>
      </w:pPr>
      <w:r>
        <w:t>(Relevant für: § 15 GwG verstärkte Sorgfaltspflichten; Transparenzregister-Abgleich erforderlich)</w:t>
      </w:r>
    </w:p>
    <w:p>
      <w:pPr>
        <w:pStyle w:val="ListNumber"/>
      </w:pPr>
      <w:r>
        <w:rPr>
          <w:b/>
        </w:rPr>
        <w:t>Gibt es eine konkrete Frist — Datum und Uhrzeit?</w:t>
      </w:r>
    </w:p>
    <w:p>
      <w:pPr>
        <w:jc w:val="left"/>
      </w:pPr>
      <w:r>
        <w:t>(Relevant für: Fristenkontrolle, Ressourcenplanung, Notfallprozess bei beA-Ausfall)</w:t>
      </w:r>
    </w:p>
    <w:p>
      <w:pPr>
        <w:pStyle w:val="Heading3"/>
      </w:pPr>
      <w:r>
        <w:rPr>
          <w:rFonts w:ascii="Times New Roman" w:hAnsi="Times New Roman"/>
        </w:rPr>
        <w:t>3.3 Routing nach Klärung der Rückfragen</w:t>
      </w:r>
    </w:p>
    <w:p>
      <w:pPr>
        <w:jc w:val="left"/>
      </w:pPr>
      <w:r>
        <w:t>Nach Beantwortung der drei Fragen wird die Aufgabe strukturiert geroutet: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Arbeitsschritt</w:t>
            </w:r>
          </w:p>
        </w:tc>
        <w:tc>
          <w:tcPr>
            <w:tcW w:type="dxa" w:w="3024"/>
          </w:tcPr>
          <w:p>
            <w:r>
              <w:rPr>
                <w:rFonts w:ascii="Times New Roman" w:hAnsi="Times New Roman"/>
                <w:b/>
                <w:sz w:val="20"/>
              </w:rPr>
              <w:t>Ziel-Ordner / Modul</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Intake — Identifizierung Mandant</w:t>
            </w:r>
          </w:p>
        </w:tc>
        <w:tc>
          <w:tcPr>
            <w:tcW w:type="dxa" w:w="3024"/>
          </w:tcPr>
          <w:p>
            <w:r>
              <w:rPr>
                <w:rFonts w:ascii="Times New Roman" w:hAnsi="Times New Roman"/>
                <w:sz w:val="20"/>
              </w:rPr>
              <w:t>12_mandatsannahme_gwg/</w:t>
            </w:r>
          </w:p>
        </w:tc>
        <w:tc>
          <w:tcPr>
            <w:tcW w:type="dxa" w:w="3024"/>
          </w:tcPr>
          <w:p>
            <w:r>
              <w:rPr>
                <w:rFonts w:ascii="Times New Roman" w:hAnsi="Times New Roman"/>
                <w:sz w:val="20"/>
              </w:rPr>
              <w:t>GwG-Fragebogen, Ausweiskopie (geschützt)</w:t>
            </w:r>
          </w:p>
        </w:tc>
      </w:tr>
      <w:tr>
        <w:tc>
          <w:tcPr>
            <w:tcW w:type="dxa" w:w="3024"/>
          </w:tcPr>
          <w:p>
            <w:r>
              <w:rPr>
                <w:rFonts w:ascii="Times New Roman" w:hAnsi="Times New Roman"/>
                <w:sz w:val="20"/>
              </w:rPr>
              <w:t>Akte anlegen</w:t>
            </w:r>
          </w:p>
        </w:tc>
        <w:tc>
          <w:tcPr>
            <w:tcW w:type="dxa" w:w="3024"/>
          </w:tcPr>
          <w:p>
            <w:r>
              <w:rPr>
                <w:rFonts w:ascii="Times New Roman" w:hAnsi="Times New Roman"/>
                <w:sz w:val="20"/>
              </w:rPr>
              <w:t>Akten-Root, Unterordner 01–14</w:t>
            </w:r>
          </w:p>
        </w:tc>
        <w:tc>
          <w:tcPr>
            <w:tcW w:type="dxa" w:w="3024"/>
          </w:tcPr>
          <w:p>
            <w:r>
              <w:rPr>
                <w:rFonts w:ascii="Times New Roman" w:hAnsi="Times New Roman"/>
                <w:sz w:val="20"/>
              </w:rPr>
              <w:t>Aktenzeichen, Aktenblatt</w:t>
            </w:r>
          </w:p>
        </w:tc>
      </w:tr>
      <w:tr>
        <w:tc>
          <w:tcPr>
            <w:tcW w:type="dxa" w:w="3024"/>
          </w:tcPr>
          <w:p>
            <w:r>
              <w:rPr>
                <w:rFonts w:ascii="Times New Roman" w:hAnsi="Times New Roman"/>
                <w:sz w:val="20"/>
              </w:rPr>
              <w:t>Mandatsannahme / GwG prüfen</w:t>
            </w:r>
          </w:p>
        </w:tc>
        <w:tc>
          <w:tcPr>
            <w:tcW w:type="dxa" w:w="3024"/>
          </w:tcPr>
          <w:p>
            <w:r>
              <w:rPr>
                <w:rFonts w:ascii="Times New Roman" w:hAnsi="Times New Roman"/>
                <w:sz w:val="20"/>
              </w:rPr>
              <w:t>12_mandatsannahme_gwg/</w:t>
            </w:r>
          </w:p>
        </w:tc>
        <w:tc>
          <w:tcPr>
            <w:tcW w:type="dxa" w:w="3024"/>
          </w:tcPr>
          <w:p>
            <w:r>
              <w:rPr>
                <w:rFonts w:ascii="Times New Roman" w:hAnsi="Times New Roman"/>
                <w:sz w:val="20"/>
              </w:rPr>
              <w:t>GwG-Freigabe oder Ablehnung</w:t>
            </w:r>
          </w:p>
        </w:tc>
      </w:tr>
      <w:tr>
        <w:tc>
          <w:tcPr>
            <w:tcW w:type="dxa" w:w="3024"/>
          </w:tcPr>
          <w:p>
            <w:r>
              <w:rPr>
                <w:rFonts w:ascii="Times New Roman" w:hAnsi="Times New Roman"/>
                <w:sz w:val="20"/>
              </w:rPr>
              <w:t>Kontoblatt anlegen</w:t>
            </w:r>
          </w:p>
        </w:tc>
        <w:tc>
          <w:tcPr>
            <w:tcW w:type="dxa" w:w="3024"/>
          </w:tcPr>
          <w:p>
            <w:r>
              <w:rPr>
                <w:rFonts w:ascii="Times New Roman" w:hAnsi="Times New Roman"/>
                <w:sz w:val="20"/>
              </w:rPr>
              <w:t>12_mandatsannahme_gwg/mandatskontoblatt_*</w:t>
            </w:r>
          </w:p>
        </w:tc>
        <w:tc>
          <w:tcPr>
            <w:tcW w:type="dxa" w:w="3024"/>
          </w:tcPr>
          <w:p>
            <w:r>
              <w:rPr>
                <w:rFonts w:ascii="Times New Roman" w:hAnsi="Times New Roman"/>
                <w:sz w:val="20"/>
              </w:rPr>
              <w:t>Forderungs- und Vergütungsübersicht</w:t>
            </w:r>
          </w:p>
        </w:tc>
      </w:tr>
      <w:tr>
        <w:tc>
          <w:tcPr>
            <w:tcW w:type="dxa" w:w="3024"/>
          </w:tcPr>
          <w:p>
            <w:r>
              <w:rPr>
                <w:rFonts w:ascii="Times New Roman" w:hAnsi="Times New Roman"/>
                <w:sz w:val="20"/>
              </w:rPr>
              <w:t>Frist eintragen</w:t>
            </w:r>
          </w:p>
        </w:tc>
        <w:tc>
          <w:tcPr>
            <w:tcW w:type="dxa" w:w="3024"/>
          </w:tcPr>
          <w:p>
            <w:r>
              <w:rPr>
                <w:rFonts w:ascii="Times New Roman" w:hAnsi="Times New Roman"/>
                <w:sz w:val="20"/>
              </w:rPr>
              <w:t>08_hr_kalender/</w:t>
            </w:r>
          </w:p>
        </w:tc>
        <w:tc>
          <w:tcPr>
            <w:tcW w:type="dxa" w:w="3024"/>
          </w:tcPr>
          <w:p>
            <w:r>
              <w:rPr>
                <w:rFonts w:ascii="Times New Roman" w:hAnsi="Times New Roman"/>
                <w:sz w:val="20"/>
              </w:rPr>
              <w:t>Fristenkalender, Jour-fixe-Agenda</w:t>
            </w:r>
          </w:p>
        </w:tc>
      </w:tr>
      <w:tr>
        <w:tc>
          <w:tcPr>
            <w:tcW w:type="dxa" w:w="3024"/>
          </w:tcPr>
          <w:p>
            <w:r>
              <w:rPr>
                <w:rFonts w:ascii="Times New Roman" w:hAnsi="Times New Roman"/>
                <w:sz w:val="20"/>
              </w:rPr>
              <w:t>Replik-Vorbereitung</w:t>
            </w:r>
          </w:p>
        </w:tc>
        <w:tc>
          <w:tcPr>
            <w:tcW w:type="dxa" w:w="3024"/>
          </w:tcPr>
          <w:p>
            <w:r>
              <w:rPr>
                <w:rFonts w:ascii="Times New Roman" w:hAnsi="Times New Roman"/>
                <w:sz w:val="20"/>
              </w:rPr>
              <w:t>03_schreibcanvas/</w:t>
            </w:r>
          </w:p>
        </w:tc>
        <w:tc>
          <w:tcPr>
            <w:tcW w:type="dxa" w:w="3024"/>
          </w:tcPr>
          <w:p>
            <w:r>
              <w:rPr>
                <w:rFonts w:ascii="Times New Roman" w:hAnsi="Times New Roman"/>
                <w:sz w:val="20"/>
              </w:rPr>
              <w:t>Schreib-Canvas-Karten, Rohentwurf</w:t>
            </w:r>
          </w:p>
        </w:tc>
      </w:tr>
    </w:tbl>
    <w:p>
      <w:pPr>
        <w:jc w:val="left"/>
      </w:pPr>
      <w:r>
        <w:rPr>
          <w:b/>
        </w:rPr>
        <w:t>Wichtig:</w:t>
      </w:r>
      <w:r>
        <w:t xml:space="preserve"> Replik-Vorbereitung wird als </w:t>
      </w:r>
      <w:r>
        <w:rPr>
          <w:b/>
        </w:rPr>
        <w:t>Folgeaufgabe</w:t>
      </w:r>
      <w:r>
        <w:t xml:space="preserve"> in die Offenliste aufgenommen und nicht mit der GwG-Prüfung vermischt. Erst nach Mandatsannahme und Aktenanlage wird die Replik bearbeitet.</w:t>
      </w:r>
    </w:p>
    <w:p>
      <w:pPr>
        <w:pStyle w:val="Heading3"/>
      </w:pPr>
      <w:r>
        <w:rPr>
          <w:rFonts w:ascii="Times New Roman" w:hAnsi="Times New Roman"/>
        </w:rPr>
        <w:t>3.4 Personalausweis — Handhabung</w:t>
      </w:r>
    </w:p>
    <w:p>
      <w:pPr>
        <w:jc w:val="left"/>
      </w:pPr>
      <w:r>
        <w:t xml:space="preserve">Der Ausweis wird </w:t>
      </w:r>
      <w:r>
        <w:rPr>
          <w:b/>
        </w:rPr>
        <w:t>nicht</w:t>
      </w:r>
      <w:r>
        <w:t xml:space="preserve"> vom System transkribiert oder inhaltlich verarbeitet. Das System verlangt:</w:t>
      </w:r>
    </w:p>
    <w:p>
      <w:pPr>
        <w:pStyle w:val="ListBullet"/>
      </w:pPr>
      <w:r>
        <w:t>Geschützte Ablage (verschlüsselt, Zugriff nur durch Jana Reuter)</w:t>
      </w:r>
    </w:p>
    <w:p>
      <w:pPr>
        <w:pStyle w:val="ListBullet"/>
      </w:pPr>
      <w:r>
        <w:t>Bestätigung, dass Identifizierung nach § 8 GwG durchgeführt wurde</w:t>
      </w:r>
    </w:p>
    <w:p>
      <w:pPr>
        <w:pStyle w:val="ListBullet"/>
      </w:pPr>
      <w:r>
        <w:t>Erfassung von Name, Geburtsdatum, Ausstellungsdatum, Ausweisnummer und ausstellende Behörde in strukturierter Form im GwG-Fragebogen (nicht im Klartext-Log)</w:t>
      </w:r>
    </w:p>
    <w:p/>
    <w:p>
      <w:pPr>
        <w:pStyle w:val="Heading2"/>
      </w:pPr>
      <w:r>
        <w:rPr>
          <w:rFonts w:ascii="Times New Roman" w:hAnsi="Times New Roman"/>
        </w:rPr>
        <w:t>4. Was das System nicht tut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Verbotenes Verhalten</w:t>
            </w:r>
          </w:p>
        </w:tc>
        <w:tc>
          <w:tcPr>
            <w:tcW w:type="dxa" w:w="4536"/>
          </w:tcPr>
          <w:p>
            <w:r>
              <w:rPr>
                <w:rFonts w:ascii="Times New Roman" w:hAnsi="Times New Roman"/>
                <w:b/>
                <w:sz w:val="20"/>
              </w:rPr>
              <w:t>Begründung</w:t>
            </w:r>
          </w:p>
        </w:tc>
      </w:tr>
      <w:tr>
        <w:tc>
          <w:tcPr>
            <w:tcW w:type="dxa" w:w="4536"/>
          </w:tcPr>
          <w:p>
            <w:r>
              <w:rPr>
                <w:rFonts w:ascii="Times New Roman" w:hAnsi="Times New Roman"/>
                <w:sz w:val="20"/>
              </w:rPr>
              <w:t>Alle Skills aufzählen</w:t>
            </w:r>
          </w:p>
        </w:tc>
        <w:tc>
          <w:tcPr>
            <w:tcW w:type="dxa" w:w="4536"/>
          </w:tcPr>
          <w:p>
            <w:r>
              <w:rPr>
                <w:rFonts w:ascii="Times New Roman" w:hAnsi="Times New Roman"/>
                <w:sz w:val="20"/>
              </w:rPr>
              <w:t>Überwältigt den Nutzer; nicht zielführend</w:t>
            </w:r>
          </w:p>
        </w:tc>
      </w:tr>
      <w:tr>
        <w:tc>
          <w:tcPr>
            <w:tcW w:type="dxa" w:w="4536"/>
          </w:tcPr>
          <w:p>
            <w:r>
              <w:rPr>
                <w:rFonts w:ascii="Times New Roman" w:hAnsi="Times New Roman"/>
                <w:sz w:val="20"/>
              </w:rPr>
              <w:t>Mehr als drei Rückfragen auf einmal stellen</w:t>
            </w:r>
          </w:p>
        </w:tc>
        <w:tc>
          <w:tcPr>
            <w:tcW w:type="dxa" w:w="4536"/>
          </w:tcPr>
          <w:p>
            <w:r>
              <w:rPr>
                <w:rFonts w:ascii="Times New Roman" w:hAnsi="Times New Roman"/>
                <w:sz w:val="20"/>
              </w:rPr>
              <w:t>Erzeugt Rückfrage-Stau; Nutzer verliert Überblick</w:t>
            </w:r>
          </w:p>
        </w:tc>
      </w:tr>
      <w:tr>
        <w:tc>
          <w:tcPr>
            <w:tcW w:type="dxa" w:w="4536"/>
          </w:tcPr>
          <w:p>
            <w:r>
              <w:rPr>
                <w:rFonts w:ascii="Times New Roman" w:hAnsi="Times New Roman"/>
                <w:sz w:val="20"/>
              </w:rPr>
              <w:t>Replik und GwG gleichzeitig bearbeiten</w:t>
            </w:r>
          </w:p>
        </w:tc>
        <w:tc>
          <w:tcPr>
            <w:tcW w:type="dxa" w:w="4536"/>
          </w:tcPr>
          <w:p>
            <w:r>
              <w:rPr>
                <w:rFonts w:ascii="Times New Roman" w:hAnsi="Times New Roman"/>
                <w:sz w:val="20"/>
              </w:rPr>
              <w:t>Qualitätsverlust durch Aufmerksamkeitsteilung</w:t>
            </w:r>
          </w:p>
        </w:tc>
      </w:tr>
      <w:tr>
        <w:tc>
          <w:tcPr>
            <w:tcW w:type="dxa" w:w="4536"/>
          </w:tcPr>
          <w:p>
            <w:r>
              <w:rPr>
                <w:rFonts w:ascii="Times New Roman" w:hAnsi="Times New Roman"/>
                <w:sz w:val="20"/>
              </w:rPr>
              <w:t>Ausweis-Inhalt transkribieren</w:t>
            </w:r>
          </w:p>
        </w:tc>
        <w:tc>
          <w:tcPr>
            <w:tcW w:type="dxa" w:w="4536"/>
          </w:tcPr>
          <w:p>
            <w:r>
              <w:rPr>
                <w:rFonts w:ascii="Times New Roman" w:hAnsi="Times New Roman"/>
                <w:sz w:val="20"/>
              </w:rPr>
              <w:t>Datenschutz; § 8 GwG verlangt Einsichtnahme, nicht Kopie im System</w:t>
            </w:r>
          </w:p>
        </w:tc>
      </w:tr>
      <w:tr>
        <w:tc>
          <w:tcPr>
            <w:tcW w:type="dxa" w:w="4536"/>
          </w:tcPr>
          <w:p>
            <w:r>
              <w:rPr>
                <w:rFonts w:ascii="Times New Roman" w:hAnsi="Times New Roman"/>
                <w:sz w:val="20"/>
              </w:rPr>
              <w:t>Automatische Mandatsannahme ohne Prüfung ausgeben</w:t>
            </w:r>
          </w:p>
        </w:tc>
        <w:tc>
          <w:tcPr>
            <w:tcW w:type="dxa" w:w="4536"/>
          </w:tcPr>
          <w:p>
            <w:r>
              <w:rPr>
                <w:rFonts w:ascii="Times New Roman" w:hAnsi="Times New Roman"/>
                <w:sz w:val="20"/>
              </w:rPr>
              <w:t>GwG-Pflicht; Mandatsannahme erfordert menschliche Freigabe</w:t>
            </w:r>
          </w:p>
        </w:tc>
      </w:tr>
      <w:tr>
        <w:tc>
          <w:tcPr>
            <w:tcW w:type="dxa" w:w="4536"/>
          </w:tcPr>
          <w:p>
            <w:r>
              <w:rPr>
                <w:rFonts w:ascii="Times New Roman" w:hAnsi="Times New Roman"/>
                <w:sz w:val="20"/>
              </w:rPr>
              <w:t>Frist berechnen ohne Datum-Bestätigung</w:t>
            </w:r>
          </w:p>
        </w:tc>
        <w:tc>
          <w:tcPr>
            <w:tcW w:type="dxa" w:w="4536"/>
          </w:tcPr>
          <w:p>
            <w:r>
              <w:rPr>
                <w:rFonts w:ascii="Times New Roman" w:hAnsi="Times New Roman"/>
                <w:sz w:val="20"/>
              </w:rPr>
              <w:t>Fehlerrisiko; Frist nur nach Bestätigung durch Anwältin</w:t>
            </w:r>
          </w:p>
        </w:tc>
      </w:tr>
    </w:tbl>
    <w:p/>
    <w:p>
      <w:pPr>
        <w:pStyle w:val="Heading2"/>
      </w:pPr>
      <w:r>
        <w:rPr>
          <w:rFonts w:ascii="Times New Roman" w:hAnsi="Times New Roman"/>
        </w:rPr>
        <w:t>5. Offenliste — Folgeaufgaben</w:t>
      </w:r>
    </w:p>
    <w:p>
      <w:pPr>
        <w:jc w:val="left"/>
      </w:pPr>
      <w:r>
        <w:t xml:space="preserve">Nach Abschluss der Mandatsannahme werden alle Folgeaufgaben in die Offenliste </w:t>
      </w:r>
      <w:r>
        <w:t>07_tagesabschluss/offene_punkte.md</w:t>
      </w:r>
      <w:r>
        <w:t xml:space="preserve"> und in die Agenda </w:t>
      </w:r>
      <w:r>
        <w:t>08_hr_kalender/jour_fixe_agenda.md</w:t>
      </w:r>
      <w:r>
        <w:t xml:space="preserve"> übertragen:</w:t>
      </w:r>
    </w:p>
    <w:p>
      <w:pPr>
        <w:jc w:val="left"/>
      </w:pPr>
      <w:r>
        <w:t>Beispiel für den oben beschriebenen Mischauftrag:</w:t>
      </w:r>
    </w:p>
    <w:p>
      <w:pPr>
        <w:pStyle w:val="ListBullet"/>
      </w:pPr>
      <w:r>
        <w:t xml:space="preserve">[ ] </w:t>
      </w:r>
      <w:r>
        <w:rPr>
          <w:b/>
        </w:rPr>
        <w:t>GwG-Fragebogen</w:t>
      </w:r>
      <w:r>
        <w:t xml:space="preserve"> ausfüllen und freigeben — Verantwortlich: Jana Reuter — Frist: vor erster Beratungsleistung</w:t>
      </w:r>
    </w:p>
    <w:p>
      <w:pPr>
        <w:pStyle w:val="ListBullet"/>
      </w:pPr>
      <w:r>
        <w:t xml:space="preserve">[ ] </w:t>
      </w:r>
      <w:r>
        <w:rPr>
          <w:b/>
        </w:rPr>
        <w:t>Ausweiskopie</w:t>
      </w:r>
      <w:r>
        <w:t xml:space="preserve"> geschützt ablegen — Verantwortlich: Jana Reuter — Frist: bei Mandatsannahme</w:t>
      </w:r>
    </w:p>
    <w:p>
      <w:pPr>
        <w:pStyle w:val="ListBullet"/>
      </w:pPr>
      <w:r>
        <w:t xml:space="preserve">[ ] </w:t>
      </w:r>
      <w:r>
        <w:rPr>
          <w:b/>
        </w:rPr>
        <w:t>Transparenzregister</w:t>
      </w:r>
      <w:r>
        <w:t xml:space="preserve"> prüfen auf wirtschaftlich Berechtigte — Verantwortlich: Jana Reuter — Frist: vor Tätigkeitsbeginn</w:t>
      </w:r>
    </w:p>
    <w:p>
      <w:pPr>
        <w:pStyle w:val="ListBullet"/>
      </w:pPr>
      <w:r>
        <w:t xml:space="preserve">[ ] </w:t>
      </w:r>
      <w:r>
        <w:rPr>
          <w:b/>
        </w:rPr>
        <w:t>Mandatsvereinbarung</w:t>
      </w:r>
      <w:r>
        <w:t xml:space="preserve"> inkl. KI/Datenschutz-Klausel versenden — Verantwortlich: Jana Reuter — Frist: vor erster Leistung</w:t>
      </w:r>
    </w:p>
    <w:p>
      <w:pPr>
        <w:pStyle w:val="ListBullet"/>
      </w:pPr>
      <w:r>
        <w:t xml:space="preserve">[ ] </w:t>
      </w:r>
      <w:r>
        <w:rPr>
          <w:b/>
        </w:rPr>
        <w:t>Replik vorbereiten (andere Sache)</w:t>
      </w:r>
      <w:r>
        <w:t xml:space="preserve"> — Verantwortlich: Mara Klein (Canvas), Jana Reuter (Freigabe) — Frist: nach GwG-Abschluss, vor Fristablauf der Repliksache</w:t>
      </w:r>
    </w:p>
    <w:p/>
    <w:p>
      <w:pPr>
        <w:pStyle w:val="Heading2"/>
      </w:pPr>
      <w:r>
        <w:rPr>
          <w:rFonts w:ascii="Times New Roman" w:hAnsi="Times New Roman"/>
        </w:rPr>
        <w:t>6. Schnellreferenz Aktenzeichen-Schema</w:t>
      </w:r>
    </w:p>
    <w:p>
      <w:pPr>
        <w:jc w:val="left"/>
      </w:pPr>
      <w:r>
        <w:t>Das Kanzlei-Aktenzeichen folgt dem Schema:</w:t>
      </w:r>
    </w:p>
    <w:p>
      <w:pPr>
        <w:jc w:val="left"/>
      </w:pPr>
      <w:r>
        <w:t>```</w:t>
      </w:r>
    </w:p>
    <w:p>
      <w:pPr>
        <w:jc w:val="left"/>
      </w:pPr>
      <w:r>
        <w:t>JJJJ-[RECHTSGEBIET]-[LAUFENDE NUMMER]</w:t>
      </w:r>
    </w:p>
    <w:p>
      <w:pPr>
        <w:jc w:val="left"/>
      </w:pPr>
      <w:r>
        <w:t>```</w:t>
      </w:r>
    </w:p>
    <w:p>
      <w:pPr>
        <w:jc w:val="left"/>
      </w:pPr>
      <w:r>
        <w:t>Beispiele:</w:t>
      </w:r>
    </w:p>
    <w:p>
      <w:pPr>
        <w:pStyle w:val="ListBullet"/>
      </w:pPr>
      <w:r>
        <w:t>2026-MIET-004</w:t>
      </w:r>
      <w:r>
        <w:t xml:space="preserve"> — Mietrechtsache Nr. 4 im Jahr 2026</w:t>
      </w:r>
    </w:p>
    <w:p>
      <w:pPr>
        <w:pStyle w:val="ListBullet"/>
      </w:pPr>
      <w:r>
        <w:t>2026-GMBH-001</w:t>
      </w:r>
      <w:r>
        <w:t xml:space="preserve"> — GmbH-/Gesellschaftsrecht Nr. 1 im Jahr 2026</w:t>
      </w:r>
    </w:p>
    <w:p>
      <w:pPr>
        <w:pStyle w:val="ListBullet"/>
      </w:pPr>
      <w:r>
        <w:t>2026-ARB-002</w:t>
      </w:r>
      <w:r>
        <w:t xml:space="preserve"> — Arbeitsrecht Nr. 2 im Jahr 2026</w:t>
      </w:r>
    </w:p>
    <w:p>
      <w:pPr>
        <w:jc w:val="left"/>
      </w:pPr>
      <w:r>
        <w:t>Gerichtsverfahren erhalten zusätzlich das gerichtliche Aktenzeichen, z. B.:</w:t>
      </w:r>
    </w:p>
    <w:p>
      <w:pPr>
        <w:jc w:val="left"/>
      </w:pPr>
      <w:r>
        <w:t>2026-MIET-004 | AG Mitte 12 C 88/26</w:t>
      </w:r>
    </w:p>
    <w:p/>
    <w:p>
      <w:pPr>
        <w:pStyle w:val="Heading2"/>
      </w:pPr>
      <w:r>
        <w:rPr>
          <w:rFonts w:ascii="Times New Roman" w:hAnsi="Times New Roman"/>
        </w:rPr>
        <w:t>7. Systemvoraussetzungen und Integrationen (Zielzustand)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Integration</w:t>
            </w:r>
          </w:p>
        </w:tc>
        <w:tc>
          <w:tcPr>
            <w:tcW w:type="dxa" w:w="3024"/>
          </w:tcPr>
          <w:p>
            <w:r>
              <w:rPr>
                <w:rFonts w:ascii="Times New Roman" w:hAnsi="Times New Roman"/>
                <w:b/>
                <w:sz w:val="20"/>
              </w:rPr>
              <w:t>Status heute</w:t>
            </w:r>
          </w:p>
        </w:tc>
        <w:tc>
          <w:tcPr>
            <w:tcW w:type="dxa" w:w="3024"/>
          </w:tcPr>
          <w:p>
            <w:r>
              <w:rPr>
                <w:rFonts w:ascii="Times New Roman" w:hAnsi="Times New Roman"/>
                <w:b/>
                <w:sz w:val="20"/>
              </w:rPr>
              <w:t>Zielzustand</w:t>
            </w:r>
          </w:p>
        </w:tc>
      </w:tr>
      <w:tr>
        <w:tc>
          <w:tcPr>
            <w:tcW w:type="dxa" w:w="3024"/>
          </w:tcPr>
          <w:p>
            <w:r>
              <w:rPr>
                <w:rFonts w:ascii="Times New Roman" w:hAnsi="Times New Roman"/>
                <w:sz w:val="20"/>
              </w:rPr>
              <w:t>Outlook / E-Mail</w:t>
            </w:r>
          </w:p>
        </w:tc>
        <w:tc>
          <w:tcPr>
            <w:tcW w:type="dxa" w:w="3024"/>
          </w:tcPr>
          <w:p>
            <w:r>
              <w:rPr>
                <w:rFonts w:ascii="Times New Roman" w:hAnsi="Times New Roman"/>
                <w:sz w:val="20"/>
              </w:rPr>
              <w:t>verbunden</w:t>
            </w:r>
          </w:p>
        </w:tc>
        <w:tc>
          <w:tcPr>
            <w:tcW w:type="dxa" w:w="3024"/>
          </w:tcPr>
          <w:p>
            <w:r>
              <w:rPr>
                <w:rFonts w:ascii="Times New Roman" w:hAnsi="Times New Roman"/>
                <w:sz w:val="20"/>
              </w:rPr>
              <w:t>laufend</w:t>
            </w:r>
          </w:p>
        </w:tc>
      </w:tr>
      <w:tr>
        <w:tc>
          <w:tcPr>
            <w:tcW w:type="dxa" w:w="3024"/>
          </w:tcPr>
          <w:p>
            <w:r>
              <w:rPr>
                <w:rFonts w:ascii="Times New Roman" w:hAnsi="Times New Roman"/>
                <w:sz w:val="20"/>
              </w:rPr>
              <w:t>beA</w:t>
            </w:r>
          </w:p>
        </w:tc>
        <w:tc>
          <w:tcPr>
            <w:tcW w:type="dxa" w:w="3024"/>
          </w:tcPr>
          <w:p>
            <w:r>
              <w:rPr>
                <w:rFonts w:ascii="Times New Roman" w:hAnsi="Times New Roman"/>
                <w:sz w:val="20"/>
              </w:rPr>
              <w:t>simuliert</w:t>
            </w:r>
          </w:p>
        </w:tc>
        <w:tc>
          <w:tcPr>
            <w:tcW w:type="dxa" w:w="3024"/>
          </w:tcPr>
          <w:p>
            <w:r>
              <w:rPr>
                <w:rFonts w:ascii="Times New Roman" w:hAnsi="Times New Roman"/>
                <w:sz w:val="20"/>
              </w:rPr>
              <w:t>nativer beA-Client</w:t>
            </w:r>
          </w:p>
        </w:tc>
      </w:tr>
      <w:tr>
        <w:tc>
          <w:tcPr>
            <w:tcW w:type="dxa" w:w="3024"/>
          </w:tcPr>
          <w:p>
            <w:r>
              <w:rPr>
                <w:rFonts w:ascii="Times New Roman" w:hAnsi="Times New Roman"/>
                <w:sz w:val="20"/>
              </w:rPr>
              <w:t>Fristenkalender</w:t>
            </w:r>
          </w:p>
        </w:tc>
        <w:tc>
          <w:tcPr>
            <w:tcW w:type="dxa" w:w="3024"/>
          </w:tcPr>
          <w:p>
            <w:r>
              <w:rPr>
                <w:rFonts w:ascii="Times New Roman" w:hAnsi="Times New Roman"/>
                <w:sz w:val="20"/>
              </w:rPr>
              <w:t>manuell</w:t>
            </w:r>
          </w:p>
        </w:tc>
        <w:tc>
          <w:tcPr>
            <w:tcW w:type="dxa" w:w="3024"/>
          </w:tcPr>
          <w:p>
            <w:r>
              <w:rPr>
                <w:rFonts w:ascii="Times New Roman" w:hAnsi="Times New Roman"/>
                <w:sz w:val="20"/>
              </w:rPr>
              <w:t>Sync mit Kanzleisoftware</w:t>
            </w:r>
          </w:p>
        </w:tc>
      </w:tr>
      <w:tr>
        <w:tc>
          <w:tcPr>
            <w:tcW w:type="dxa" w:w="3024"/>
          </w:tcPr>
          <w:p>
            <w:r>
              <w:rPr>
                <w:rFonts w:ascii="Times New Roman" w:hAnsi="Times New Roman"/>
                <w:sz w:val="20"/>
              </w:rPr>
              <w:t>DATEV / Buchhaltung</w:t>
            </w:r>
          </w:p>
        </w:tc>
        <w:tc>
          <w:tcPr>
            <w:tcW w:type="dxa" w:w="3024"/>
          </w:tcPr>
          <w:p>
            <w:r>
              <w:rPr>
                <w:rFonts w:ascii="Times New Roman" w:hAnsi="Times New Roman"/>
                <w:sz w:val="20"/>
              </w:rPr>
              <w:t>nicht angebunden</w:t>
            </w:r>
          </w:p>
        </w:tc>
        <w:tc>
          <w:tcPr>
            <w:tcW w:type="dxa" w:w="3024"/>
          </w:tcPr>
          <w:p>
            <w:r>
              <w:rPr>
                <w:rFonts w:ascii="Times New Roman" w:hAnsi="Times New Roman"/>
                <w:sz w:val="20"/>
              </w:rPr>
              <w:t>DATEV-Online-Connector</w:t>
            </w:r>
          </w:p>
        </w:tc>
      </w:tr>
      <w:tr>
        <w:tc>
          <w:tcPr>
            <w:tcW w:type="dxa" w:w="3024"/>
          </w:tcPr>
          <w:p>
            <w:r>
              <w:rPr>
                <w:rFonts w:ascii="Times New Roman" w:hAnsi="Times New Roman"/>
                <w:sz w:val="20"/>
              </w:rPr>
              <w:t>ELSTER</w:t>
            </w:r>
          </w:p>
        </w:tc>
        <w:tc>
          <w:tcPr>
            <w:tcW w:type="dxa" w:w="3024"/>
          </w:tcPr>
          <w:p>
            <w:r>
              <w:rPr>
                <w:rFonts w:ascii="Times New Roman" w:hAnsi="Times New Roman"/>
                <w:sz w:val="20"/>
              </w:rPr>
              <w:t>über Steuerkanzlei</w:t>
            </w:r>
          </w:p>
        </w:tc>
        <w:tc>
          <w:tcPr>
            <w:tcW w:type="dxa" w:w="3024"/>
          </w:tcPr>
          <w:p>
            <w:r>
              <w:rPr>
                <w:rFonts w:ascii="Times New Roman" w:hAnsi="Times New Roman"/>
                <w:sz w:val="20"/>
              </w:rPr>
              <w:t>ggf. Direktanbindung</w:t>
            </w:r>
          </w:p>
        </w:tc>
      </w:tr>
      <w:tr>
        <w:tc>
          <w:tcPr>
            <w:tcW w:type="dxa" w:w="3024"/>
          </w:tcPr>
          <w:p>
            <w:r>
              <w:rPr>
                <w:rFonts w:ascii="Times New Roman" w:hAnsi="Times New Roman"/>
                <w:sz w:val="20"/>
              </w:rPr>
              <w:t>Lohnsoftware</w:t>
            </w:r>
          </w:p>
        </w:tc>
        <w:tc>
          <w:tcPr>
            <w:tcW w:type="dxa" w:w="3024"/>
          </w:tcPr>
          <w:p>
            <w:r>
              <w:rPr>
                <w:rFonts w:ascii="Times New Roman" w:hAnsi="Times New Roman"/>
                <w:sz w:val="20"/>
              </w:rPr>
              <w:t>nicht angebunden</w:t>
            </w:r>
          </w:p>
        </w:tc>
        <w:tc>
          <w:tcPr>
            <w:tcW w:type="dxa" w:w="3024"/>
          </w:tcPr>
          <w:p>
            <w:r>
              <w:rPr>
                <w:rFonts w:ascii="Times New Roman" w:hAnsi="Times New Roman"/>
                <w:sz w:val="20"/>
              </w:rPr>
              <w:t>Lexware / DATEV Lohn</w:t>
            </w:r>
          </w:p>
        </w:tc>
      </w:tr>
      <w:tr>
        <w:tc>
          <w:tcPr>
            <w:tcW w:type="dxa" w:w="3024"/>
          </w:tcPr>
          <w:p>
            <w:r>
              <w:rPr>
                <w:rFonts w:ascii="Times New Roman" w:hAnsi="Times New Roman"/>
                <w:sz w:val="20"/>
              </w:rPr>
              <w:t>Transparenzregister</w:t>
            </w:r>
          </w:p>
        </w:tc>
        <w:tc>
          <w:tcPr>
            <w:tcW w:type="dxa" w:w="3024"/>
          </w:tcPr>
          <w:p>
            <w:r>
              <w:rPr>
                <w:rFonts w:ascii="Times New Roman" w:hAnsi="Times New Roman"/>
                <w:sz w:val="20"/>
              </w:rPr>
              <w:t>manuell abrufbar</w:t>
            </w:r>
          </w:p>
        </w:tc>
        <w:tc>
          <w:tcPr>
            <w:tcW w:type="dxa" w:w="3024"/>
          </w:tcPr>
          <w:p>
            <w:r>
              <w:rPr>
                <w:rFonts w:ascii="Times New Roman" w:hAnsi="Times New Roman"/>
                <w:sz w:val="20"/>
              </w:rPr>
              <w:t>API-Abfrage (kostenpflichtig)</w:t>
            </w:r>
          </w:p>
        </w:tc>
      </w:tr>
    </w:tbl>
    <w:p/>
    <w:p>
      <w:pPr>
        <w:jc w:val="left"/>
      </w:pPr>
      <w:r>
        <w:rPr>
          <w:i/>
        </w:rPr>
        <w:t>Dokument KZ-2026-INST-001 — Erstellt: 20.05.2026 — Jana Reuter, Kanzlei Reuter Rechtsanwälte, Lindenstraße 14, 10969 Berlin. Aktenstand.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