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Associate Pulse und Fluktuationsrisiko</w:t>
      </w:r>
    </w:p>
    <w:p>
      <w:pPr>
        <w:jc w:val="left"/>
      </w:pPr>
      <w:r>
        <w:t>Amalie Winter und Konrad Bleibtreu liegen seit acht Wochen deutlich über dem Zielkorridor. Beide erhalten gutes Feedback von Mandanten, aber wenig strukturiertes Feedback aus dem Partnerkreis. Typisches Risiko: Die Kanzlei verwechselt Loyalität mit Belastbarkeit.</w:t>
      </w:r>
    </w:p>
    <w:p>
      <w:pPr>
        <w:pStyle w:val="Heading2"/>
      </w:pPr>
      <w:r>
        <w:rPr>
          <w:rFonts w:ascii="Times New Roman" w:hAnsi="Times New Roman"/>
        </w:rPr>
        <w:t>Maßnahmen</w:t>
      </w:r>
    </w:p>
    <w:p>
      <w:pPr>
        <w:pStyle w:val="ListNumber"/>
      </w:pPr>
      <w:r>
        <w:t>Stay Interviews durch HR-Partnerin und nicht durch den belastenden Partner.</w:t>
      </w:r>
    </w:p>
    <w:p>
      <w:pPr>
        <w:pStyle w:val="ListNumber"/>
      </w:pPr>
      <w:r>
        <w:t>Sofortige Staffing-Entlastung für zwei Wochen.</w:t>
      </w:r>
    </w:p>
    <w:p>
      <w:pPr>
        <w:pStyle w:val="ListNumber"/>
      </w:pPr>
      <w:r>
        <w:t>Konkretes Feedback und Perspektivgespräch bis 15.07.</w:t>
      </w:r>
    </w:p>
    <w:p>
      <w:pPr>
        <w:pStyle w:val="ListNumber"/>
      </w:pPr>
      <w:r>
        <w:t>Partnerkreis informiert: Retention ist Managementthema, kein Weichei-Thema.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