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Pricing- und Rabattnotiz</w:t>
      </w:r>
    </w:p>
    <w:p>
      <w:pPr>
        <w:jc w:val="left"/>
      </w:pPr>
      <w:r>
        <w:t>Corporate hat im Q2 mehrere Caps und Rabatte zugesagt, ohne Change-Request-Regeln hart einzubauen. Der Automotive-Key-Account ist strategisch wichtig, frisst aber Marge und blockiert Associates.</w:t>
      </w:r>
    </w:p>
    <w:p>
      <w:pPr>
        <w:pStyle w:val="Heading2"/>
      </w:pPr>
      <w:r>
        <w:rPr>
          <w:rFonts w:ascii="Times New Roman" w:hAnsi="Times New Roman"/>
        </w:rPr>
        <w:t>Vorschlag</w:t>
      </w:r>
    </w:p>
    <w:p>
      <w:pPr>
        <w:pStyle w:val="ListBullet"/>
      </w:pPr>
      <w:r>
        <w:t>Rabatte über 10 % nur mit Pricing-Freigabe.</w:t>
      </w:r>
    </w:p>
    <w:p>
      <w:pPr>
        <w:pStyle w:val="ListBullet"/>
      </w:pPr>
      <w:r>
        <w:t>Caps nur mit Scope, Annahmen, Exclusions und wöchentlichem Burn-Report.</w:t>
      </w:r>
    </w:p>
    <w:p>
      <w:pPr>
        <w:pStyle w:val="ListBullet"/>
      </w:pPr>
      <w:r>
        <w:t>Retainer jährlich nachziehen, wenn tatsächliche Stunden 115 % überschreiten.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