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Partnerkonflikt-Vermerk</w:t>
      </w:r>
    </w:p>
    <w:p>
      <w:pPr>
        <w:jc w:val="left"/>
      </w:pPr>
      <w:r>
        <w:t>Dr. Hohenlohe argumentiert, seine Mandanten seien strategisch und rechtfertigten Sonderregeln bei Origination und Abrechnung. Die Zahlen zeigen hohe Akquisition, aber überdurchschnittlichen WIP und schwache Realization.</w:t>
      </w:r>
    </w:p>
    <w:p>
      <w:pPr>
        <w:jc w:val="left"/>
      </w:pPr>
      <w:r>
        <w:t>Der Beitrag ist real. Das Problem ist nicht Erfolg, sondern Asymmetrie: Andere Teams tragen Arbeitslast und Cash-Risiko, während der Credit überwiegend bei einem Partner landet.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