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KI-/DMS-Investitionscase</w:t>
      </w:r>
    </w:p>
    <w:p>
      <w:pPr>
        <w:jc w:val="left"/>
      </w:pPr>
      <w:r>
        <w:t>Die Kanzlei prüft ein neues DMS mit KI-Such- und Zusammenfassungsfunktionen. Wirtschaftlich sinnvoll, aber Cash-technisch schlecht getimt. Berufsrechtlich sind Mandatsgeheimnis, Rollenrechte, Logging, Subdienstleister, AVV, Datenresidenz, Löschung und Human Review zu prüfen.</w:t>
      </w:r>
    </w:p>
    <w:p>
      <w:pPr>
        <w:pStyle w:val="Heading2"/>
      </w:pPr>
      <w:r>
        <w:rPr>
          <w:rFonts w:ascii="Times New Roman" w:hAnsi="Times New Roman"/>
        </w:rPr>
        <w:t>Phasenvorschlag</w:t>
      </w:r>
    </w:p>
    <w:p>
      <w:pPr>
        <w:pStyle w:val="ListNumber"/>
      </w:pPr>
      <w:r>
        <w:t>Phase 1: DMS-Struktur, Rechte, Aktenplan, Migration kritischer Mandate.</w:t>
      </w:r>
    </w:p>
    <w:p>
      <w:pPr>
        <w:pStyle w:val="ListNumber"/>
      </w:pPr>
      <w:r>
        <w:t>Phase 2: KI-Funktionen nur mit Dummy-/freigegebenen Datenklassen.</w:t>
      </w:r>
    </w:p>
    <w:p>
      <w:pPr>
        <w:pStyle w:val="ListNumber"/>
      </w:pPr>
      <w:r>
        <w:t>Phase 3: Kanzleiweites Rollout nach Datenschutz-, Berufsrechts- und Betriebsratscheck.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