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02 Beteiligte und Gesellschaftsidee</w:t>
      </w:r>
    </w:p>
    <w:p>
      <w:pPr>
        <w:jc w:val="left"/>
      </w:pPr>
      <w:r>
        <w:rPr>
          <w:b/>
        </w:rPr>
        <w:t>Aktenzeichen:</w:t>
      </w:r>
      <w:r>
        <w:t xml:space="preserve"> KBH-2026-001-EFS</w:t>
      </w:r>
    </w:p>
    <w:p>
      <w:pPr>
        <w:jc w:val="left"/>
      </w:pPr>
      <w:r>
        <w:rPr>
          <w:b/>
        </w:rPr>
        <w:t>Stand:</w:t>
      </w:r>
      <w:r>
        <w:t xml:space="preserve"> 20. Februar 2026</w:t>
      </w:r>
    </w:p>
    <w:p/>
    <w:p>
      <w:pPr>
        <w:pStyle w:val="Heading2"/>
      </w:pPr>
      <w:r>
        <w:rPr>
          <w:rFonts w:ascii="Times New Roman" w:hAnsi="Times New Roman"/>
        </w:rPr>
        <w:t>1. Die Gründungspartner</w:t>
      </w:r>
    </w:p>
    <w:p>
      <w:pPr>
        <w:pStyle w:val="Heading3"/>
      </w:pPr>
      <w:r>
        <w:rPr>
          <w:rFonts w:ascii="Times New Roman" w:hAnsi="Times New Roman"/>
        </w:rPr>
        <w:t>Dr. Hilke Eckermann</w:t>
      </w:r>
    </w:p>
    <w:p>
      <w:pPr>
        <w:pStyle w:val="ListBullet"/>
      </w:pPr>
      <w:r>
        <w:rPr>
          <w:b/>
        </w:rPr>
        <w:t>Geburtsjahr:</w:t>
      </w:r>
      <w:r>
        <w:t xml:space="preserve"> 1979</w:t>
      </w:r>
    </w:p>
    <w:p>
      <w:pPr>
        <w:pStyle w:val="ListBullet"/>
      </w:pPr>
      <w:r>
        <w:rPr>
          <w:b/>
        </w:rPr>
        <w:t>Qualifikation:</w:t>
      </w:r>
      <w:r>
        <w:t xml:space="preserve"> Rechtsanwältin, Fachanwältin für Sozialrecht</w:t>
      </w:r>
    </w:p>
    <w:p>
      <w:pPr>
        <w:pStyle w:val="ListBullet"/>
      </w:pPr>
      <w:r>
        <w:rPr>
          <w:b/>
        </w:rPr>
        <w:t>Zulassung:</w:t>
      </w:r>
      <w:r>
        <w:t xml:space="preserve"> RAK Aachen seit 2009</w:t>
      </w:r>
    </w:p>
    <w:p>
      <w:pPr>
        <w:pStyle w:val="ListBullet"/>
      </w:pPr>
      <w:r>
        <w:rPr>
          <w:b/>
        </w:rPr>
        <w:t>Bisherige Tätigkeit:</w:t>
      </w:r>
      <w:r>
        <w:t xml:space="preserve"> Einzelkanzlei Eckermann Sozialrecht, Aachen-Laurensberg (gegründet 2012)</w:t>
      </w:r>
    </w:p>
    <w:p>
      <w:pPr>
        <w:pStyle w:val="ListBullet"/>
      </w:pPr>
      <w:r>
        <w:rPr>
          <w:b/>
        </w:rPr>
        <w:t>Schwerpunkte:</w:t>
      </w:r>
      <w:r>
        <w:t xml:space="preserve"> Schwerbehindertenrecht (SGB IX), Grundsicherung (SGB II/XII), Rentenrecht (SGB VI), Pflegeleistungen (SGB XI)</w:t>
      </w:r>
    </w:p>
    <w:p>
      <w:pPr>
        <w:pStyle w:val="ListBullet"/>
      </w:pPr>
      <w:r>
        <w:rPr>
          <w:b/>
        </w:rPr>
        <w:t>Mitarbeiter Vorgängerkanzlei:</w:t>
      </w:r>
      <w:r>
        <w:t xml:space="preserve"> 4 (1 Rechtsanwältin, 2 Rechtsanwaltsfachangestellte, 1 Auszubildende)</w:t>
      </w:r>
    </w:p>
    <w:p>
      <w:pPr>
        <w:pStyle w:val="ListBullet"/>
      </w:pPr>
      <w:r>
        <w:rPr>
          <w:b/>
        </w:rPr>
        <w:t>Jahresumsatz 2025:</w:t>
      </w:r>
      <w:r>
        <w:t xml:space="preserve"> ca. 420.000 EUR</w:t>
      </w:r>
    </w:p>
    <w:p>
      <w:pPr>
        <w:pStyle w:val="ListBullet"/>
      </w:pPr>
      <w:r>
        <w:rPr>
          <w:b/>
        </w:rPr>
        <w:t>Anteile geplant:</w:t>
      </w:r>
      <w:r>
        <w:t xml:space="preserve"> 40 %</w:t>
      </w:r>
    </w:p>
    <w:p>
      <w:pPr>
        <w:pStyle w:val="ListBullet"/>
      </w:pPr>
      <w:r>
        <w:rPr>
          <w:b/>
        </w:rPr>
        <w:t>Besonderheit:</w:t>
      </w:r>
      <w:r>
        <w:t xml:space="preserve"> Inhaberin einer kleinen Bibliothek juristischer Spezialliteratur Sozialrecht; Fortführung als Kanzleibibliothek geplant</w:t>
      </w:r>
    </w:p>
    <w:p>
      <w:pPr>
        <w:pStyle w:val="Heading3"/>
      </w:pPr>
      <w:r>
        <w:rPr>
          <w:rFonts w:ascii="Times New Roman" w:hAnsi="Times New Roman"/>
        </w:rPr>
        <w:t>Dr. Matthias Friedrich</w:t>
      </w:r>
    </w:p>
    <w:p>
      <w:pPr>
        <w:pStyle w:val="ListBullet"/>
      </w:pPr>
      <w:r>
        <w:rPr>
          <w:b/>
        </w:rPr>
        <w:t>Geburtsjahr:</w:t>
      </w:r>
      <w:r>
        <w:t xml:space="preserve"> 1977</w:t>
      </w:r>
    </w:p>
    <w:p>
      <w:pPr>
        <w:pStyle w:val="ListBullet"/>
      </w:pPr>
      <w:r>
        <w:rPr>
          <w:b/>
        </w:rPr>
        <w:t>Qualifikation:</w:t>
      </w:r>
      <w:r>
        <w:t xml:space="preserve"> Rechtsanwalt, Fachanwalt für Arbeitsrecht</w:t>
      </w:r>
    </w:p>
    <w:p>
      <w:pPr>
        <w:pStyle w:val="ListBullet"/>
      </w:pPr>
      <w:r>
        <w:rPr>
          <w:b/>
        </w:rPr>
        <w:t>Zulassung:</w:t>
      </w:r>
      <w:r>
        <w:t xml:space="preserve"> RAK Aachen seit 2007</w:t>
      </w:r>
    </w:p>
    <w:p>
      <w:pPr>
        <w:pStyle w:val="ListBullet"/>
      </w:pPr>
      <w:r>
        <w:rPr>
          <w:b/>
        </w:rPr>
        <w:t>Bisherige Tätigkeit:</w:t>
      </w:r>
      <w:r>
        <w:t xml:space="preserve"> Partner Friedrich &amp; Brandt Rechtsanwälte GbR, Aachen (seit 2011; Brandt scheidet aus und zieht nach München)</w:t>
      </w:r>
    </w:p>
    <w:p>
      <w:pPr>
        <w:pStyle w:val="ListBullet"/>
      </w:pPr>
      <w:r>
        <w:rPr>
          <w:b/>
        </w:rPr>
        <w:t>Schwerpunkte:</w:t>
      </w:r>
      <w:r>
        <w:t xml:space="preserve"> Individuelles und kollektives Arbeitsrecht, Betriebsverfassungsrecht, Kündigungsschutzrecht, Sozialplangestaltung</w:t>
      </w:r>
    </w:p>
    <w:p>
      <w:pPr>
        <w:pStyle w:val="ListBullet"/>
      </w:pPr>
      <w:r>
        <w:rPr>
          <w:b/>
        </w:rPr>
        <w:t>Mitarbeiter Vorgängerkanzlei (Friedrich-Anteil):</w:t>
      </w:r>
      <w:r>
        <w:t xml:space="preserve"> 5 (1 RA, 3 ReFa, 1 Büroassistentin)</w:t>
      </w:r>
    </w:p>
    <w:p>
      <w:pPr>
        <w:pStyle w:val="ListBullet"/>
      </w:pPr>
      <w:r>
        <w:rPr>
          <w:b/>
        </w:rPr>
        <w:t>Jahresumsatz 2025 (Anteil Friedrich):</w:t>
      </w:r>
      <w:r>
        <w:t xml:space="preserve"> ca. 580.000 EUR</w:t>
      </w:r>
    </w:p>
    <w:p>
      <w:pPr>
        <w:pStyle w:val="ListBullet"/>
      </w:pPr>
      <w:r>
        <w:rPr>
          <w:b/>
        </w:rPr>
        <w:t>Anteile geplant:</w:t>
      </w:r>
      <w:r>
        <w:t xml:space="preserve"> 40 %</w:t>
      </w:r>
    </w:p>
    <w:p>
      <w:pPr>
        <w:pStyle w:val="ListBullet"/>
      </w:pPr>
      <w:r>
        <w:rPr>
          <w:b/>
        </w:rPr>
        <w:t>Besonderheit:</w:t>
      </w:r>
      <w:r>
        <w:t xml:space="preserve"> Laufendes Großmandat Betriebsratsgründung Logistikzentrum Aldis; Mandat muss übergeleitet werden</w:t>
      </w:r>
    </w:p>
    <w:p>
      <w:pPr>
        <w:pStyle w:val="Heading3"/>
      </w:pPr>
      <w:r>
        <w:rPr>
          <w:rFonts w:ascii="Times New Roman" w:hAnsi="Times New Roman"/>
        </w:rPr>
        <w:t>Dr. Volker Sandhof</w:t>
      </w:r>
    </w:p>
    <w:p>
      <w:pPr>
        <w:pStyle w:val="ListBullet"/>
      </w:pPr>
      <w:r>
        <w:rPr>
          <w:b/>
        </w:rPr>
        <w:t>Geburtsjahr:</w:t>
      </w:r>
      <w:r>
        <w:t xml:space="preserve"> 1981</w:t>
      </w:r>
    </w:p>
    <w:p>
      <w:pPr>
        <w:pStyle w:val="ListBullet"/>
      </w:pPr>
      <w:r>
        <w:rPr>
          <w:b/>
        </w:rPr>
        <w:t>Qualifikation:</w:t>
      </w:r>
      <w:r>
        <w:t xml:space="preserve"> Rechtsanwalt, Fachanwalt für Steuerrecht</w:t>
      </w:r>
    </w:p>
    <w:p>
      <w:pPr>
        <w:pStyle w:val="ListBullet"/>
      </w:pPr>
      <w:r>
        <w:rPr>
          <w:b/>
        </w:rPr>
        <w:t>Zulassung:</w:t>
      </w:r>
      <w:r>
        <w:t xml:space="preserve"> RAK Aachen seit 2011; zugleich Steuerberater (StBK Köln)</w:t>
      </w:r>
    </w:p>
    <w:p>
      <w:pPr>
        <w:pStyle w:val="ListBullet"/>
      </w:pPr>
      <w:r>
        <w:rPr>
          <w:b/>
        </w:rPr>
        <w:t>Bisherige Tätigkeit:</w:t>
      </w:r>
      <w:r>
        <w:t xml:space="preserve"> Sandhof Steuerrecht GbR Aachen (mit zwei Schwestern als Gesellschafterinnen; scheidet zum 30.04.2026 aus)</w:t>
      </w:r>
    </w:p>
    <w:p>
      <w:pPr>
        <w:pStyle w:val="ListBullet"/>
      </w:pPr>
      <w:r>
        <w:rPr>
          <w:b/>
        </w:rPr>
        <w:t>Schwerpunkte:</w:t>
      </w:r>
      <w:r>
        <w:t xml:space="preserve"> Steuergestaltung Kapitalgesellschaften, Umwandlungsrecht, Erbschaftsteuer, internationales Steuerrecht</w:t>
      </w:r>
    </w:p>
    <w:p>
      <w:pPr>
        <w:pStyle w:val="ListBullet"/>
      </w:pPr>
      <w:r>
        <w:rPr>
          <w:b/>
        </w:rPr>
        <w:t>Mitarbeiter Vorgängerkanzlei (Sandhof-Anteil):</w:t>
      </w:r>
      <w:r>
        <w:t xml:space="preserve"> 3 (2 ReFa, 1 Steuerfachangestellte)</w:t>
      </w:r>
    </w:p>
    <w:p>
      <w:pPr>
        <w:pStyle w:val="ListBullet"/>
      </w:pPr>
      <w:r>
        <w:rPr>
          <w:b/>
        </w:rPr>
        <w:t>Anteile geplant:</w:t>
      </w:r>
      <w:r>
        <w:t xml:space="preserve"> 20 %</w:t>
      </w:r>
    </w:p>
    <w:p>
      <w:pPr>
        <w:pStyle w:val="ListBullet"/>
      </w:pPr>
      <w:r>
        <w:rPr>
          <w:b/>
        </w:rPr>
        <w:t>Besonderheit:</w:t>
      </w:r>
      <w:r>
        <w:t xml:space="preserve"> Doppelqualifikation RA/StB ist für das Kanzlei-Profil zentral; Sandhof-Schwestern prüfen Konkurrenzklausel</w:t>
      </w:r>
    </w:p>
    <w:p/>
    <w:p>
      <w:pPr>
        <w:pStyle w:val="Heading2"/>
      </w:pPr>
      <w:r>
        <w:rPr>
          <w:rFonts w:ascii="Times New Roman" w:hAnsi="Times New Roman"/>
        </w:rPr>
        <w:t>2. Die Gesellschaftsidee</w:t>
      </w:r>
    </w:p>
    <w:p>
      <w:pPr>
        <w:pStyle w:val="Heading3"/>
      </w:pPr>
      <w:r>
        <w:rPr>
          <w:rFonts w:ascii="Times New Roman" w:hAnsi="Times New Roman"/>
        </w:rPr>
        <w:t>Hintergrund</w:t>
      </w:r>
    </w:p>
    <w:p>
      <w:pPr>
        <w:jc w:val="left"/>
      </w:pPr>
      <w:r>
        <w:t>Alle drei Gründer sind in Aachen tätig und kennen sich seit Jahren aus gemeinsamen Verfahren vor dem Sozialgericht Aachen, dem Arbeitsgericht Aachen und dem Finanzgericht Köln. Die Idee einer gemeinsamen Sozietät entstand auf einem Netzwerktreffen der Aachener Anwaltschaft im November 2025.</w:t>
      </w:r>
    </w:p>
    <w:p>
      <w:pPr>
        <w:jc w:val="left"/>
      </w:pPr>
      <w:r>
        <w:t xml:space="preserve">Der Kern der Idee: Eine multidisziplinäre Spezialkanzlei, die das Dreieck </w:t>
      </w:r>
      <w:r>
        <w:rPr>
          <w:b/>
        </w:rPr>
        <w:t>Sozialrecht — Arbeitsrecht — Steuerrecht</w:t>
      </w:r>
      <w:r>
        <w:t xml:space="preserve"> unter einem Dach verbindet. Dieses Profil erscheint in Aachen und der Euregio Maas-Rhein einmalig und strategisch sinnvoll, da viele Fälle — etwa Betriebsrenten, Arbeitnehmerbesteuerung, Sozialversicherungspflicht von GmbH-Geschäftsführern — genau diesen Schnittbereich erfordern.</w:t>
      </w:r>
    </w:p>
    <w:p>
      <w:pPr>
        <w:pStyle w:val="Heading3"/>
      </w:pPr>
      <w:r>
        <w:rPr>
          <w:rFonts w:ascii="Times New Roman" w:hAnsi="Times New Roman"/>
        </w:rPr>
        <w:t>Kanzleiprofil EFS</w:t>
      </w:r>
    </w:p>
    <w:p>
      <w:pPr>
        <w:pStyle w:val="ListBullet"/>
      </w:pPr>
      <w:r>
        <w:rPr>
          <w:b/>
        </w:rPr>
        <w:t>Name:</w:t>
      </w:r>
      <w:r>
        <w:t xml:space="preserve"> Eckermann Friedrich Sandhof Rechtsanwaltsgesellschaft mbH</w:t>
      </w:r>
    </w:p>
    <w:p>
      <w:pPr>
        <w:pStyle w:val="ListBullet"/>
      </w:pPr>
      <w:r>
        <w:rPr>
          <w:b/>
        </w:rPr>
        <w:t>Kurzbezeichnung:</w:t>
      </w:r>
      <w:r>
        <w:t xml:space="preserve"> EFS Recht</w:t>
      </w:r>
    </w:p>
    <w:p>
      <w:pPr>
        <w:pStyle w:val="ListBullet"/>
      </w:pPr>
      <w:r>
        <w:rPr>
          <w:b/>
        </w:rPr>
        <w:t>Sitz:</w:t>
      </w:r>
      <w:r>
        <w:t xml:space="preserve"> Pontstraße 88, 52062 Aachen</w:t>
      </w:r>
    </w:p>
    <w:p>
      <w:pPr>
        <w:pStyle w:val="ListBullet"/>
      </w:pPr>
      <w:r>
        <w:rPr>
          <w:b/>
        </w:rPr>
        <w:t>Rechtsform (angestrebt):</w:t>
      </w:r>
      <w:r>
        <w:t xml:space="preserve"> Rechtsanwaltsgesellschaft mbH (RA-GmbH, §§ 59c ff. BRAO)</w:t>
      </w:r>
    </w:p>
    <w:p>
      <w:pPr>
        <w:pStyle w:val="ListBullet"/>
      </w:pPr>
      <w:r>
        <w:rPr>
          <w:b/>
        </w:rPr>
        <w:t>Gründungskapital:</w:t>
      </w:r>
      <w:r>
        <w:t xml:space="preserve"> 25.000 EUR Stammkapital</w:t>
      </w:r>
    </w:p>
    <w:p>
      <w:pPr>
        <w:pStyle w:val="ListBullet"/>
      </w:pPr>
      <w:r>
        <w:rPr>
          <w:b/>
        </w:rPr>
        <w:t>Geschäftsbereiche:</w:t>
      </w:r>
    </w:p>
    <w:p>
      <w:pPr>
        <w:pStyle w:val="ListBullet"/>
      </w:pPr>
      <w:r>
        <w:t>Sozialrecht (Eckermann)</w:t>
      </w:r>
    </w:p>
    <w:p>
      <w:pPr>
        <w:pStyle w:val="ListBullet"/>
      </w:pPr>
      <w:r>
        <w:t>Arbeitsrecht (Friedrich)</w:t>
      </w:r>
    </w:p>
    <w:p>
      <w:pPr>
        <w:pStyle w:val="ListBullet"/>
      </w:pPr>
      <w:r>
        <w:t>Steuerrecht und steuerorientierte Beratung (Sandhof)</w:t>
      </w:r>
    </w:p>
    <w:p>
      <w:pPr>
        <w:pStyle w:val="ListBullet"/>
      </w:pPr>
      <w:r>
        <w:t>Überschneidungsmandate: Betriebliche Altersvorsorge, Sozialversicherungspflicht Geschäftsführer, Arbeitnehmerentsendung</w:t>
      </w:r>
    </w:p>
    <w:p>
      <w:pPr>
        <w:pStyle w:val="Heading3"/>
      </w:pPr>
      <w:r>
        <w:rPr>
          <w:rFonts w:ascii="Times New Roman" w:hAnsi="Times New Roman"/>
        </w:rPr>
        <w:t>Standort Pontstraße 88 Aachen</w:t>
      </w:r>
    </w:p>
    <w:p>
      <w:pPr>
        <w:jc w:val="left"/>
      </w:pPr>
      <w:r>
        <w:t>Die Pontstraße ist die zentrale Flaniermeile Aachens nahe dem Dom und dem Elisenbrunnen. Das Objekt Nr. 88 bietet ca. 320 m² Bürofläche in der zweiten Etage eines Gründerzeitgebäudes. Vermieter: Gewerbe-Immobilien Aachen Dörsam GmbH. Mietvertrag ab 01.05.2026 in Verhandlung (Aktenstück 10).</w:t>
      </w:r>
    </w:p>
    <w:p/>
    <w:p>
      <w:pPr>
        <w:pStyle w:val="Heading2"/>
      </w:pPr>
      <w:r>
        <w:rPr>
          <w:rFonts w:ascii="Times New Roman" w:hAnsi="Times New Roman"/>
        </w:rPr>
        <w:t>3. Gesellschafterstruktur und Stimmrechte</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Partner</w:t>
            </w:r>
          </w:p>
        </w:tc>
        <w:tc>
          <w:tcPr>
            <w:tcW w:type="dxa" w:w="2268"/>
          </w:tcPr>
          <w:p>
            <w:r>
              <w:rPr>
                <w:rFonts w:ascii="Times New Roman" w:hAnsi="Times New Roman"/>
                <w:b/>
                <w:sz w:val="20"/>
              </w:rPr>
              <w:t>Anteil Stammkapital</w:t>
            </w:r>
          </w:p>
        </w:tc>
        <w:tc>
          <w:tcPr>
            <w:tcW w:type="dxa" w:w="2268"/>
          </w:tcPr>
          <w:p>
            <w:r>
              <w:rPr>
                <w:rFonts w:ascii="Times New Roman" w:hAnsi="Times New Roman"/>
                <w:b/>
                <w:sz w:val="20"/>
              </w:rPr>
              <w:t>Stimmrecht</w:t>
            </w:r>
          </w:p>
        </w:tc>
        <w:tc>
          <w:tcPr>
            <w:tcW w:type="dxa" w:w="2268"/>
          </w:tcPr>
          <w:p>
            <w:r>
              <w:rPr>
                <w:rFonts w:ascii="Times New Roman" w:hAnsi="Times New Roman"/>
                <w:b/>
                <w:sz w:val="20"/>
              </w:rPr>
              <w:t>Gewinnbeteiligung (initial)</w:t>
            </w:r>
          </w:p>
        </w:tc>
      </w:tr>
      <w:tr>
        <w:tc>
          <w:tcPr>
            <w:tcW w:type="dxa" w:w="2268"/>
          </w:tcPr>
          <w:p>
            <w:r>
              <w:rPr>
                <w:rFonts w:ascii="Times New Roman" w:hAnsi="Times New Roman"/>
                <w:sz w:val="20"/>
              </w:rPr>
              <w:t>Dr. Hilke Eckermann</w:t>
            </w:r>
          </w:p>
        </w:tc>
        <w:tc>
          <w:tcPr>
            <w:tcW w:type="dxa" w:w="2268"/>
          </w:tcPr>
          <w:p>
            <w:r>
              <w:rPr>
                <w:rFonts w:ascii="Times New Roman" w:hAnsi="Times New Roman"/>
                <w:sz w:val="20"/>
              </w:rPr>
              <w:t>10.000 EUR (40 %)</w:t>
            </w:r>
          </w:p>
        </w:tc>
        <w:tc>
          <w:tcPr>
            <w:tcW w:type="dxa" w:w="2268"/>
          </w:tcPr>
          <w:p>
            <w:r>
              <w:rPr>
                <w:rFonts w:ascii="Times New Roman" w:hAnsi="Times New Roman"/>
                <w:sz w:val="20"/>
              </w:rPr>
              <w:t>40 %</w:t>
            </w:r>
          </w:p>
        </w:tc>
        <w:tc>
          <w:tcPr>
            <w:tcW w:type="dxa" w:w="2268"/>
          </w:tcPr>
          <w:p>
            <w:r>
              <w:rPr>
                <w:rFonts w:ascii="Times New Roman" w:hAnsi="Times New Roman"/>
                <w:sz w:val="20"/>
              </w:rPr>
              <w:t>38 %</w:t>
            </w:r>
          </w:p>
        </w:tc>
      </w:tr>
      <w:tr>
        <w:tc>
          <w:tcPr>
            <w:tcW w:type="dxa" w:w="2268"/>
          </w:tcPr>
          <w:p>
            <w:r>
              <w:rPr>
                <w:rFonts w:ascii="Times New Roman" w:hAnsi="Times New Roman"/>
                <w:sz w:val="20"/>
              </w:rPr>
              <w:t>Dr. Matthias Friedrich</w:t>
            </w:r>
          </w:p>
        </w:tc>
        <w:tc>
          <w:tcPr>
            <w:tcW w:type="dxa" w:w="2268"/>
          </w:tcPr>
          <w:p>
            <w:r>
              <w:rPr>
                <w:rFonts w:ascii="Times New Roman" w:hAnsi="Times New Roman"/>
                <w:sz w:val="20"/>
              </w:rPr>
              <w:t>10.000 EUR (40 %)</w:t>
            </w:r>
          </w:p>
        </w:tc>
        <w:tc>
          <w:tcPr>
            <w:tcW w:type="dxa" w:w="2268"/>
          </w:tcPr>
          <w:p>
            <w:r>
              <w:rPr>
                <w:rFonts w:ascii="Times New Roman" w:hAnsi="Times New Roman"/>
                <w:sz w:val="20"/>
              </w:rPr>
              <w:t>40 %</w:t>
            </w:r>
          </w:p>
        </w:tc>
        <w:tc>
          <w:tcPr>
            <w:tcW w:type="dxa" w:w="2268"/>
          </w:tcPr>
          <w:p>
            <w:r>
              <w:rPr>
                <w:rFonts w:ascii="Times New Roman" w:hAnsi="Times New Roman"/>
                <w:sz w:val="20"/>
              </w:rPr>
              <w:t>38 %</w:t>
            </w:r>
          </w:p>
        </w:tc>
      </w:tr>
      <w:tr>
        <w:tc>
          <w:tcPr>
            <w:tcW w:type="dxa" w:w="2268"/>
          </w:tcPr>
          <w:p>
            <w:r>
              <w:rPr>
                <w:rFonts w:ascii="Times New Roman" w:hAnsi="Times New Roman"/>
                <w:sz w:val="20"/>
              </w:rPr>
              <w:t>Dr. Volker Sandhof</w:t>
            </w:r>
          </w:p>
        </w:tc>
        <w:tc>
          <w:tcPr>
            <w:tcW w:type="dxa" w:w="2268"/>
          </w:tcPr>
          <w:p>
            <w:r>
              <w:rPr>
                <w:rFonts w:ascii="Times New Roman" w:hAnsi="Times New Roman"/>
                <w:sz w:val="20"/>
              </w:rPr>
              <w:t>5.000 EUR (20 %)</w:t>
            </w:r>
          </w:p>
        </w:tc>
        <w:tc>
          <w:tcPr>
            <w:tcW w:type="dxa" w:w="2268"/>
          </w:tcPr>
          <w:p>
            <w:r>
              <w:rPr>
                <w:rFonts w:ascii="Times New Roman" w:hAnsi="Times New Roman"/>
                <w:sz w:val="20"/>
              </w:rPr>
              <w:t>20 %</w:t>
            </w:r>
          </w:p>
        </w:tc>
        <w:tc>
          <w:tcPr>
            <w:tcW w:type="dxa" w:w="2268"/>
          </w:tcPr>
          <w:p>
            <w:r>
              <w:rPr>
                <w:rFonts w:ascii="Times New Roman" w:hAnsi="Times New Roman"/>
                <w:sz w:val="20"/>
              </w:rPr>
              <w:t>24 %</w:t>
            </w:r>
          </w:p>
        </w:tc>
      </w:tr>
    </w:tbl>
    <w:p>
      <w:pPr>
        <w:jc w:val="left"/>
      </w:pPr>
      <w:r>
        <w:t>Hinweis: Die abweichende Gewinnbeteiligung von Sandhof (+4 %) trotz geringeren Anteils erklärt sich durch seine Doppelqualifikation als StB, die höheren Marktmehrwert generiert.</w:t>
      </w:r>
    </w:p>
    <w:p/>
    <w:p>
      <w:pPr>
        <w:pStyle w:val="Heading2"/>
      </w:pPr>
      <w:r>
        <w:rPr>
          <w:rFonts w:ascii="Times New Roman" w:hAnsi="Times New Roman"/>
        </w:rPr>
        <w:t>4. Strategische Risiken (Ersteinschätzung)</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Risiko</w:t>
            </w:r>
          </w:p>
        </w:tc>
        <w:tc>
          <w:tcPr>
            <w:tcW w:type="dxa" w:w="4536"/>
          </w:tcPr>
          <w:p>
            <w:r>
              <w:rPr>
                <w:rFonts w:ascii="Times New Roman" w:hAnsi="Times New Roman"/>
                <w:b/>
                <w:sz w:val="20"/>
              </w:rPr>
              <w:t>Einschätzung</w:t>
            </w:r>
          </w:p>
        </w:tc>
      </w:tr>
      <w:tr>
        <w:tc>
          <w:tcPr>
            <w:tcW w:type="dxa" w:w="4536"/>
          </w:tcPr>
          <w:p>
            <w:r>
              <w:rPr>
                <w:rFonts w:ascii="Times New Roman" w:hAnsi="Times New Roman"/>
                <w:sz w:val="20"/>
              </w:rPr>
              <w:t>Markenkonflikt "EFS Kanzlei Stuttgart"</w:t>
            </w:r>
          </w:p>
        </w:tc>
        <w:tc>
          <w:tcPr>
            <w:tcW w:type="dxa" w:w="4536"/>
          </w:tcPr>
          <w:p>
            <w:r>
              <w:rPr>
                <w:rFonts w:ascii="Times New Roman" w:hAnsi="Times New Roman"/>
                <w:sz w:val="20"/>
              </w:rPr>
              <w:t>Erheblich — Widerspruchsverfahren zu erwarten (Aktenstück 11)</w:t>
            </w:r>
          </w:p>
        </w:tc>
      </w:tr>
      <w:tr>
        <w:tc>
          <w:tcPr>
            <w:tcW w:type="dxa" w:w="4536"/>
          </w:tcPr>
          <w:p>
            <w:r>
              <w:rPr>
                <w:rFonts w:ascii="Times New Roman" w:hAnsi="Times New Roman"/>
                <w:sz w:val="20"/>
              </w:rPr>
              <w:t>Domain "efs-recht.de" belegt</w:t>
            </w:r>
          </w:p>
        </w:tc>
        <w:tc>
          <w:tcPr>
            <w:tcW w:type="dxa" w:w="4536"/>
          </w:tcPr>
          <w:p>
            <w:r>
              <w:rPr>
                <w:rFonts w:ascii="Times New Roman" w:hAnsi="Times New Roman"/>
                <w:sz w:val="20"/>
              </w:rPr>
              <w:t>Erheblich — Cybersquatter (Aktenstück 12)</w:t>
            </w:r>
          </w:p>
        </w:tc>
      </w:tr>
      <w:tr>
        <w:tc>
          <w:tcPr>
            <w:tcW w:type="dxa" w:w="4536"/>
          </w:tcPr>
          <w:p>
            <w:r>
              <w:rPr>
                <w:rFonts w:ascii="Times New Roman" w:hAnsi="Times New Roman"/>
                <w:sz w:val="20"/>
              </w:rPr>
              <w:t>Konkurrenzklausel Sandhof</w:t>
            </w:r>
          </w:p>
        </w:tc>
        <w:tc>
          <w:tcPr>
            <w:tcW w:type="dxa" w:w="4536"/>
          </w:tcPr>
          <w:p>
            <w:r>
              <w:rPr>
                <w:rFonts w:ascii="Times New Roman" w:hAnsi="Times New Roman"/>
                <w:sz w:val="20"/>
              </w:rPr>
              <w:t>Mittel — Prüfung läuft</w:t>
            </w:r>
          </w:p>
        </w:tc>
      </w:tr>
      <w:tr>
        <w:tc>
          <w:tcPr>
            <w:tcW w:type="dxa" w:w="4536"/>
          </w:tcPr>
          <w:p>
            <w:r>
              <w:rPr>
                <w:rFonts w:ascii="Times New Roman" w:hAnsi="Times New Roman"/>
                <w:sz w:val="20"/>
              </w:rPr>
              <w:t>Betriebsübergang 12 Mitarbeiter § 613a BGB</w:t>
            </w:r>
          </w:p>
        </w:tc>
        <w:tc>
          <w:tcPr>
            <w:tcW w:type="dxa" w:w="4536"/>
          </w:tcPr>
          <w:p>
            <w:r>
              <w:rPr>
                <w:rFonts w:ascii="Times New Roman" w:hAnsi="Times New Roman"/>
                <w:sz w:val="20"/>
              </w:rPr>
              <w:t>Mittel bis erheblich — formale Anforderungen (Aktenstück 06)</w:t>
            </w:r>
          </w:p>
        </w:tc>
      </w:tr>
      <w:tr>
        <w:tc>
          <w:tcPr>
            <w:tcW w:type="dxa" w:w="4536"/>
          </w:tcPr>
          <w:p>
            <w:r>
              <w:rPr>
                <w:rFonts w:ascii="Times New Roman" w:hAnsi="Times New Roman"/>
                <w:sz w:val="20"/>
              </w:rPr>
              <w:t>Zulassungsrisiko RAK Aachen</w:t>
            </w:r>
          </w:p>
        </w:tc>
        <w:tc>
          <w:tcPr>
            <w:tcW w:type="dxa" w:w="4536"/>
          </w:tcPr>
          <w:p>
            <w:r>
              <w:rPr>
                <w:rFonts w:ascii="Times New Roman" w:hAnsi="Times New Roman"/>
                <w:sz w:val="20"/>
              </w:rPr>
              <w:t>Gering bei vollständigen Unterlagen</w:t>
            </w:r>
          </w:p>
        </w:tc>
      </w:tr>
    </w:tbl>
    <w:p/>
    <w:p>
      <w:pPr>
        <w:pStyle w:val="Heading2"/>
      </w:pPr>
      <w:r>
        <w:rPr>
          <w:rFonts w:ascii="Times New Roman" w:hAnsi="Times New Roman"/>
        </w:rPr>
        <w:t>Quellen</w:t>
      </w:r>
    </w:p>
    <w:p>
      <w:pPr>
        <w:pStyle w:val="ListBullet"/>
      </w:pPr>
      <w:r>
        <w:t>BRAO §§ 59c–59q: dejure.org/gesetze/BRAO</w:t>
      </w:r>
    </w:p>
    <w:p>
      <w:pPr>
        <w:pStyle w:val="ListBullet"/>
      </w:pPr>
      <w:r>
        <w:t>GmbHG § 5 (Stammkapital): dejure.org/gesetze/GmbHG</w:t>
      </w:r>
    </w:p>
    <w:p>
      <w:pPr>
        <w:pStyle w:val="ListBullet"/>
      </w:pPr>
      <w:r>
        <w:t>PartGG (Partnerschaftsgesellschaft): dejure.org/gesetze/PartGG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