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Gesellschaftsvertrag — Lockstep-Modell vs. Geistlich-Modell</w:t>
      </w:r>
    </w:p>
    <w:p>
      <w:pPr>
        <w:jc w:val="left"/>
      </w:pPr>
      <w:r>
        <w:rPr>
          <w:b/>
        </w:rPr>
        <w:t>Aktenzeichen:</w:t>
      </w:r>
      <w:r>
        <w:t xml:space="preserve"> KBH-2026-001-EFS</w:t>
      </w:r>
    </w:p>
    <w:p>
      <w:pPr>
        <w:jc w:val="left"/>
      </w:pPr>
      <w:r>
        <w:rPr>
          <w:b/>
        </w:rPr>
        <w:t>Stand:</w:t>
      </w:r>
      <w:r>
        <w:t xml:space="preserve"> 15. März 2026</w:t>
      </w:r>
    </w:p>
    <w:p>
      <w:pPr>
        <w:jc w:val="left"/>
      </w:pPr>
      <w:r>
        <w:rPr>
          <w:b/>
        </w:rPr>
        <w:t>Bearbeiterin:</w:t>
      </w:r>
      <w:r>
        <w:t xml:space="preserve"> RA Monika Hellwig</w:t>
      </w:r>
    </w:p>
    <w:p/>
    <w:p>
      <w:pPr>
        <w:pStyle w:val="Heading2"/>
      </w:pPr>
      <w:r>
        <w:rPr>
          <w:rFonts w:ascii="Times New Roman" w:hAnsi="Times New Roman"/>
        </w:rPr>
        <w:t>1. Problemstellung Gewinnverteilung</w:t>
      </w:r>
    </w:p>
    <w:p>
      <w:pPr>
        <w:jc w:val="left"/>
      </w:pPr>
      <w:r>
        <w:t>Einer der konfliktträchtigsten Verhandlungspunkte bei der EFS-Gründung ist das Gewinnverteilungsmodell. Dr. Friedrich (Arbeitsrecht, höchster bisheriger Umsatz) favorisiert das Lockstep-Modell mit leistungsbezogenen Korrekturen. Dr. Eckermann und Dr. Sandhof tendieren zum sog. Geistlich-Modell mit festem Basisanteil.</w:t>
      </w:r>
    </w:p>
    <w:p/>
    <w:p>
      <w:pPr>
        <w:pStyle w:val="Heading2"/>
      </w:pPr>
      <w:r>
        <w:rPr>
          <w:rFonts w:ascii="Times New Roman" w:hAnsi="Times New Roman"/>
        </w:rPr>
        <w:t>2. Das Lockstep-Modell</w:t>
      </w:r>
    </w:p>
    <w:p>
      <w:pPr>
        <w:jc w:val="left"/>
      </w:pPr>
      <w:r>
        <w:t>Das Lockstep-Modell stammt aus dem angloamerikanischen Kanzleisystem und ist in Deutschland seit den 1990er Jahren durch die großen überörtlichen Sozietäten bekannt. Die Grundidee: Partner steigen durch Dienstalter und Beitragsleistung schrittweise ("in lockstep") auf feste Vergütungsstufen auf.</w:t>
      </w:r>
    </w:p>
    <w:p>
      <w:pPr>
        <w:pStyle w:val="Heading3"/>
      </w:pPr>
      <w:r>
        <w:rPr>
          <w:rFonts w:ascii="Times New Roman" w:hAnsi="Times New Roman"/>
        </w:rPr>
        <w:t>Variante Friedrich</w:t>
      </w:r>
    </w:p>
    <w:p>
      <w:pPr>
        <w:jc w:val="left"/>
      </w:pPr>
      <w:r>
        <w:t>Dr. Friedrich schlägt vor:</w:t>
      </w:r>
    </w:p>
    <w:p>
      <w:pPr>
        <w:pStyle w:val="ListBullet"/>
      </w:pPr>
      <w:r>
        <w:t>Basisvergütung je Partner: Fixum 120.000 EUR/Jahr (gleichmäßig)</w:t>
      </w:r>
    </w:p>
    <w:p>
      <w:pPr>
        <w:pStyle w:val="ListBullet"/>
      </w:pPr>
      <w:r>
        <w:t>Bonuspool 40 % des Jahresgewinns, verteilt nach Schlüssel:</w:t>
      </w:r>
    </w:p>
    <w:p>
      <w:pPr>
        <w:pStyle w:val="ListBullet"/>
      </w:pPr>
      <w:r>
        <w:t>Eigener Mandantenumsatz 60 %</w:t>
      </w:r>
    </w:p>
    <w:p>
      <w:pPr>
        <w:pStyle w:val="ListBullet"/>
      </w:pPr>
      <w:r>
        <w:t>Cross-Selling-Punkte (Zuweisung von Mandaten zu anderen Partnern) 25 %</w:t>
      </w:r>
    </w:p>
    <w:p>
      <w:pPr>
        <w:pStyle w:val="ListBullet"/>
      </w:pPr>
      <w:r>
        <w:t>Qualitätspunkte (interne Bewertung) 15 %</w:t>
      </w:r>
    </w:p>
    <w:p>
      <w:pPr>
        <w:pStyle w:val="ListBullet"/>
      </w:pPr>
      <w:r>
        <w:t>Dienstalter-Prämie: 1 % Aufschlag je vollendetem Kanzleijahr</w:t>
      </w:r>
    </w:p>
    <w:p>
      <w:pPr>
        <w:jc w:val="left"/>
      </w:pPr>
      <w:r>
        <w:rPr>
          <w:b/>
        </w:rPr>
        <w:t>Vorteil:</w:t>
      </w:r>
      <w:r>
        <w:t xml:space="preserve"> Starke Leistungsanreize; verhindert "Trittbrettfahrer-Probleme".</w:t>
      </w:r>
    </w:p>
    <w:p>
      <w:pPr>
        <w:jc w:val="left"/>
      </w:pPr>
      <w:r>
        <w:rPr>
          <w:b/>
        </w:rPr>
        <w:t>Nachteil:</w:t>
      </w:r>
      <w:r>
        <w:t xml:space="preserve"> Fördert interne Konkurrenz; kann Mandantenweiterleitung hemmen; administrativ aufwendig.</w:t>
      </w:r>
    </w:p>
    <w:p/>
    <w:p>
      <w:pPr>
        <w:pStyle w:val="Heading2"/>
      </w:pPr>
      <w:r>
        <w:rPr>
          <w:rFonts w:ascii="Times New Roman" w:hAnsi="Times New Roman"/>
        </w:rPr>
        <w:t>3. Das Geistlich-Modell</w:t>
      </w:r>
    </w:p>
    <w:p>
      <w:pPr>
        <w:jc w:val="left"/>
      </w:pPr>
      <w:r>
        <w:t>Das sog. Geistlich-Modell (nach dem Schweizer Anwaltsrechtler Friedrich Geistlich) basiert auf dem Grundsatz, dass Kanzleien als Einheit mehr wert sind als die Summe ihrer Teile. Es sieht einen hohen Festanteil und einen kleinen variablen Anteil vor.</w:t>
      </w:r>
    </w:p>
    <w:p>
      <w:pPr>
        <w:pStyle w:val="Heading3"/>
      </w:pPr>
      <w:r>
        <w:rPr>
          <w:rFonts w:ascii="Times New Roman" w:hAnsi="Times New Roman"/>
        </w:rPr>
        <w:t>Variante Eckermann/Sandhof</w:t>
      </w:r>
    </w:p>
    <w:p>
      <w:pPr>
        <w:pStyle w:val="ListBullet"/>
      </w:pPr>
      <w:r>
        <w:t>Basisanteil: Entsprechend der Beteiligungsquote (40/40/20 %)</w:t>
      </w:r>
    </w:p>
    <w:p>
      <w:pPr>
        <w:pStyle w:val="ListBullet"/>
      </w:pPr>
      <w:r>
        <w:t>Variabler Anteil: Max. 15 % des Jahresgewinns; Bemessung nach einvernehmlichem Beschluss der Gesellschafterversammlung</w:t>
      </w:r>
    </w:p>
    <w:p>
      <w:pPr>
        <w:pStyle w:val="ListBullet"/>
      </w:pPr>
      <w:r>
        <w:t>Keine individuelle Umsatzmessung; stattdessen Teamziele</w:t>
      </w:r>
    </w:p>
    <w:p>
      <w:pPr>
        <w:jc w:val="left"/>
      </w:pPr>
      <w:r>
        <w:rPr>
          <w:b/>
        </w:rPr>
        <w:t>Vorteil:</w:t>
      </w:r>
      <w:r>
        <w:t xml:space="preserve"> Fördert Kollaboration, Cross-Selling und Teamkultur; weniger Verwaltungsaufwand.</w:t>
      </w:r>
    </w:p>
    <w:p>
      <w:pPr>
        <w:jc w:val="left"/>
      </w:pPr>
      <w:r>
        <w:rPr>
          <w:b/>
        </w:rPr>
        <w:t>Nachteil:</w:t>
      </w:r>
      <w:r>
        <w:t xml:space="preserve"> Kann bei Leistungsunterschieden zu Unzufriedenheit führen; mangelnde Anreize für High-Performer.</w:t>
      </w:r>
    </w:p>
    <w:p/>
    <w:p>
      <w:pPr>
        <w:pStyle w:val="Heading2"/>
      </w:pPr>
      <w:r>
        <w:rPr>
          <w:rFonts w:ascii="Times New Roman" w:hAnsi="Times New Roman"/>
        </w:rPr>
        <w:t>4. Kompromissmodell (Verhandlungsergebnis 15.03.2026)</w:t>
      </w:r>
    </w:p>
    <w:p>
      <w:pPr>
        <w:jc w:val="left"/>
      </w:pPr>
      <w:r>
        <w:t xml:space="preserve">Nach zwei Verhandlungsrunden einigten sich die Partner auf ein </w:t>
      </w:r>
      <w:r>
        <w:rPr>
          <w:b/>
        </w:rPr>
        <w:t>Hybridmodell</w:t>
      </w:r>
      <w:r>
        <w: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Komponente</w:t>
            </w:r>
          </w:p>
        </w:tc>
        <w:tc>
          <w:tcPr>
            <w:tcW w:type="dxa" w:w="3024"/>
          </w:tcPr>
          <w:p>
            <w:r>
              <w:rPr>
                <w:rFonts w:ascii="Times New Roman" w:hAnsi="Times New Roman"/>
                <w:b/>
                <w:sz w:val="20"/>
              </w:rPr>
              <w:t>Betrag/Anteil</w:t>
            </w:r>
          </w:p>
        </w:tc>
        <w:tc>
          <w:tcPr>
            <w:tcW w:type="dxa" w:w="3024"/>
          </w:tcPr>
          <w:p>
            <w:r>
              <w:rPr>
                <w:rFonts w:ascii="Times New Roman" w:hAnsi="Times New Roman"/>
                <w:b/>
                <w:sz w:val="20"/>
              </w:rPr>
              <w:t>Verteilung</w:t>
            </w:r>
          </w:p>
        </w:tc>
      </w:tr>
      <w:tr>
        <w:tc>
          <w:tcPr>
            <w:tcW w:type="dxa" w:w="3024"/>
          </w:tcPr>
          <w:p>
            <w:r>
              <w:rPr>
                <w:rFonts w:ascii="Times New Roman" w:hAnsi="Times New Roman"/>
                <w:sz w:val="20"/>
              </w:rPr>
              <w:t>Fixgehalt Geschäftsführer (alle drei)</w:t>
            </w:r>
          </w:p>
        </w:tc>
        <w:tc>
          <w:tcPr>
            <w:tcW w:type="dxa" w:w="3024"/>
          </w:tcPr>
          <w:p>
            <w:r>
              <w:rPr>
                <w:rFonts w:ascii="Times New Roman" w:hAnsi="Times New Roman"/>
                <w:sz w:val="20"/>
              </w:rPr>
              <w:t>Je 110.000 EUR/Jahr brutto</w:t>
            </w:r>
          </w:p>
        </w:tc>
        <w:tc>
          <w:tcPr>
            <w:tcW w:type="dxa" w:w="3024"/>
          </w:tcPr>
          <w:p>
            <w:r>
              <w:rPr>
                <w:rFonts w:ascii="Times New Roman" w:hAnsi="Times New Roman"/>
                <w:sz w:val="20"/>
              </w:rPr>
              <w:t>Gleichmäßig</w:t>
            </w:r>
          </w:p>
        </w:tc>
      </w:tr>
      <w:tr>
        <w:tc>
          <w:tcPr>
            <w:tcW w:type="dxa" w:w="3024"/>
          </w:tcPr>
          <w:p>
            <w:r>
              <w:rPr>
                <w:rFonts w:ascii="Times New Roman" w:hAnsi="Times New Roman"/>
                <w:sz w:val="20"/>
              </w:rPr>
              <w:t>Sockelbeteiligung Restgewinn</w:t>
            </w:r>
          </w:p>
        </w:tc>
        <w:tc>
          <w:tcPr>
            <w:tcW w:type="dxa" w:w="3024"/>
          </w:tcPr>
          <w:p>
            <w:r>
              <w:rPr>
                <w:rFonts w:ascii="Times New Roman" w:hAnsi="Times New Roman"/>
                <w:sz w:val="20"/>
              </w:rPr>
              <w:t>70 % des Jahresgewinns nach GF-Gehältern</w:t>
            </w:r>
          </w:p>
        </w:tc>
        <w:tc>
          <w:tcPr>
            <w:tcW w:type="dxa" w:w="3024"/>
          </w:tcPr>
          <w:p>
            <w:r>
              <w:rPr>
                <w:rFonts w:ascii="Times New Roman" w:hAnsi="Times New Roman"/>
                <w:sz w:val="20"/>
              </w:rPr>
              <w:t>40/40/20 % laut Gesellschaftsanteile</w:t>
            </w:r>
          </w:p>
        </w:tc>
      </w:tr>
      <w:tr>
        <w:tc>
          <w:tcPr>
            <w:tcW w:type="dxa" w:w="3024"/>
          </w:tcPr>
          <w:p>
            <w:r>
              <w:rPr>
                <w:rFonts w:ascii="Times New Roman" w:hAnsi="Times New Roman"/>
                <w:sz w:val="20"/>
              </w:rPr>
              <w:t>Leistungspool</w:t>
            </w:r>
          </w:p>
        </w:tc>
        <w:tc>
          <w:tcPr>
            <w:tcW w:type="dxa" w:w="3024"/>
          </w:tcPr>
          <w:p>
            <w:r>
              <w:rPr>
                <w:rFonts w:ascii="Times New Roman" w:hAnsi="Times New Roman"/>
                <w:sz w:val="20"/>
              </w:rPr>
              <w:t>30 % des Jahresgewinns</w:t>
            </w:r>
          </w:p>
        </w:tc>
        <w:tc>
          <w:tcPr>
            <w:tcW w:type="dxa" w:w="3024"/>
          </w:tcPr>
          <w:p>
            <w:r>
              <w:rPr>
                <w:rFonts w:ascii="Times New Roman" w:hAnsi="Times New Roman"/>
                <w:sz w:val="20"/>
              </w:rPr>
              <w:t>Mandatsumsatz 50 %, Cross-Selling 30 %, Beschluss 20 %</w:t>
            </w:r>
          </w:p>
        </w:tc>
      </w:tr>
    </w:tbl>
    <w:p>
      <w:pPr>
        <w:jc w:val="left"/>
      </w:pPr>
      <w:r>
        <w:t>Dieser Kompromiss soll im Gesellschaftsvertrag unter § 12 (Gewinnverteilung) verankert werden.</w:t>
      </w:r>
    </w:p>
    <w:p/>
    <w:p>
      <w:pPr>
        <w:pStyle w:val="Heading2"/>
      </w:pPr>
      <w:r>
        <w:rPr>
          <w:rFonts w:ascii="Times New Roman" w:hAnsi="Times New Roman"/>
        </w:rPr>
        <w:t>5. Weitere wesentliche Regelungen Gesellschaftsvertrag</w:t>
      </w:r>
    </w:p>
    <w:p>
      <w:pPr>
        <w:pStyle w:val="Heading3"/>
      </w:pPr>
      <w:r>
        <w:rPr>
          <w:rFonts w:ascii="Times New Roman" w:hAnsi="Times New Roman"/>
        </w:rPr>
        <w:t>§ 1 Firma und Sitz</w:t>
      </w:r>
    </w:p>
    <w:p>
      <w:pPr>
        <w:jc w:val="left"/>
      </w:pPr>
      <w:r>
        <w:t>Eckermann Friedrich Sandhof Rechtsanwaltsgesellschaft mbH; Sitz Aachen.</w:t>
      </w:r>
    </w:p>
    <w:p>
      <w:pPr>
        <w:pStyle w:val="Heading3"/>
      </w:pPr>
      <w:r>
        <w:rPr>
          <w:rFonts w:ascii="Times New Roman" w:hAnsi="Times New Roman"/>
        </w:rPr>
        <w:t>§ 3 Stammkapital</w:t>
      </w:r>
    </w:p>
    <w:p>
      <w:pPr>
        <w:jc w:val="left"/>
      </w:pPr>
      <w:r>
        <w:t>25.000 EUR, eingeteilt in 100 Geschäftsanteile zu je 250 EUR. Verteilung: Eckermann 40 Anteile, Friedrich 40 Anteile, Sandhof 20 Anteile.</w:t>
      </w:r>
    </w:p>
    <w:p>
      <w:pPr>
        <w:pStyle w:val="Heading3"/>
      </w:pPr>
      <w:r>
        <w:rPr>
          <w:rFonts w:ascii="Times New Roman" w:hAnsi="Times New Roman"/>
        </w:rPr>
        <w:t>§ 7 Geschäftsführung</w:t>
      </w:r>
    </w:p>
    <w:p>
      <w:pPr>
        <w:jc w:val="left"/>
      </w:pPr>
      <w:r>
        <w:t>Alle drei Gesellschafter sind Geschäftsführer. Ressortzuständigkeiten:</w:t>
      </w:r>
    </w:p>
    <w:p>
      <w:pPr>
        <w:pStyle w:val="ListBullet"/>
      </w:pPr>
      <w:r>
        <w:t>Eckermann: Personal, Weiterbildung</w:t>
      </w:r>
    </w:p>
    <w:p>
      <w:pPr>
        <w:pStyle w:val="ListBullet"/>
      </w:pPr>
      <w:r>
        <w:t>Friedrich: Mandatssteuerung, IT</w:t>
      </w:r>
    </w:p>
    <w:p>
      <w:pPr>
        <w:pStyle w:val="ListBullet"/>
      </w:pPr>
      <w:r>
        <w:t>Sandhof: Finanzen, Steuern, Versicherungen</w:t>
      </w:r>
    </w:p>
    <w:p>
      <w:pPr>
        <w:jc w:val="left"/>
      </w:pPr>
      <w:r>
        <w:t>Für Rechtsgeschäfte über 10.000 EUR ist Gesamtvertretung (je zwei Geschäftsführer) erforderlich.</w:t>
      </w:r>
    </w:p>
    <w:p>
      <w:pPr>
        <w:pStyle w:val="Heading3"/>
      </w:pPr>
      <w:r>
        <w:rPr>
          <w:rFonts w:ascii="Times New Roman" w:hAnsi="Times New Roman"/>
        </w:rPr>
        <w:t>§ 9 Wettbewerbsverbot</w:t>
      </w:r>
    </w:p>
    <w:p>
      <w:pPr>
        <w:jc w:val="left"/>
      </w:pPr>
      <w:r>
        <w:t>Partner dürfen während der Gesellschaftsmitgliedschaft keine eigene Einzelpraxis betreiben. Nachvertragliches Wettbewerbsverbot: 12 Monate, 20 km Umkreis Aachen, Vertragsstrafe 50.000 EUR je Verstoß.</w:t>
      </w:r>
    </w:p>
    <w:p>
      <w:pPr>
        <w:pStyle w:val="Heading3"/>
      </w:pPr>
      <w:r>
        <w:rPr>
          <w:rFonts w:ascii="Times New Roman" w:hAnsi="Times New Roman"/>
        </w:rPr>
        <w:t>§ 14 Ausscheiden und Abfindung</w:t>
      </w:r>
    </w:p>
    <w:p>
      <w:pPr>
        <w:jc w:val="left"/>
      </w:pPr>
      <w:r>
        <w:t>Abfindungsformel: Buchwert des Gesellschaftsanteils zzgl. 0,8-faches des durchschnittlichen Jahresumsatzes der letzten drei Jahre. Auszahlung in 24 Monatsraten.</w:t>
      </w:r>
    </w:p>
    <w:p>
      <w:pPr>
        <w:pStyle w:val="Heading3"/>
      </w:pPr>
      <w:r>
        <w:rPr>
          <w:rFonts w:ascii="Times New Roman" w:hAnsi="Times New Roman"/>
        </w:rPr>
        <w:t>§ 17 Schiedsklausel</w:t>
      </w:r>
    </w:p>
    <w:p>
      <w:pPr>
        <w:jc w:val="left"/>
      </w:pPr>
      <w:r>
        <w:t>Streitigkeiten aus dem Gesellschaftsvertrag werden durch ein Dreierschiedsgericht bei der Deutschen Institution für Schiedsgerichtsbarkeit (DIS) entschieden.</w:t>
      </w:r>
    </w:p>
    <w:p/>
    <w:p>
      <w:pPr>
        <w:pStyle w:val="Heading2"/>
      </w:pPr>
      <w:r>
        <w:rPr>
          <w:rFonts w:ascii="Times New Roman" w:hAnsi="Times New Roman"/>
        </w:rPr>
        <w:t>6. Notartermin</w:t>
      </w:r>
    </w:p>
    <w:p>
      <w:pPr>
        <w:jc w:val="left"/>
      </w:pPr>
      <w:r>
        <w:t>Der Gesellschaftsvertrag wird beurkundet durch Notar Dr. Hermann Küppers, Notariat Aachen-Süd, Templergraben 77, 52062 Aachen.</w:t>
      </w:r>
    </w:p>
    <w:p>
      <w:pPr>
        <w:jc w:val="left"/>
      </w:pPr>
      <w:r>
        <w:rPr>
          <w:b/>
        </w:rPr>
        <w:t>Notartermin:</w:t>
      </w:r>
      <w:r>
        <w:t xml:space="preserve"> 28. März 2026, 10:00 Uhr</w:t>
      </w:r>
    </w:p>
    <w:p>
      <w:pPr>
        <w:jc w:val="left"/>
      </w:pPr>
      <w:r>
        <w:rPr>
          <w:b/>
        </w:rPr>
        <w:t>Beglaubigte Abschriften</w:t>
      </w:r>
      <w:r>
        <w:t xml:space="preserve"> werden unmittelbar nach der Beurkundung an die RAK Aachen und das Amtsgericht Aachen (Handelsregister) übersandt.</w:t>
      </w:r>
    </w:p>
    <w:p/>
    <w:p>
      <w:pPr>
        <w:pStyle w:val="Heading2"/>
      </w:pPr>
      <w:r>
        <w:rPr>
          <w:rFonts w:ascii="Times New Roman" w:hAnsi="Times New Roman"/>
        </w:rPr>
        <w:t>Quellen</w:t>
      </w:r>
    </w:p>
    <w:p>
      <w:pPr>
        <w:pStyle w:val="ListBullet"/>
      </w:pPr>
      <w:r>
        <w:t>GmbHG §§ 2, 53 (Gesellschaftsvertrag, Satzungsänderung): dejure.org/gesetze/GmbHG</w:t>
      </w:r>
    </w:p>
    <w:p>
      <w:pPr>
        <w:pStyle w:val="ListBullet"/>
      </w:pPr>
      <w:r>
        <w:t>BRAO §§ 59c–59l (RA-GmbH): dejure.org/gesetze/BRAO</w:t>
      </w:r>
    </w:p>
    <w:p>
      <w:pPr>
        <w:pStyle w:val="ListBullet"/>
      </w:pPr>
      <w:r>
        <w:t>BGH, Urt. v. 29.01.2001, II ZR 331/00 (Treuepflichten in Anwalts-GmbH): bundesgerichtshof.de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