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05 Mindesthaftpflicht und Berufshaftpflichtversicherung — § 51 BRAO</w:t>
      </w:r>
    </w:p>
    <w:p>
      <w:pPr>
        <w:jc w:val="left"/>
      </w:pPr>
      <w:r>
        <w:rPr>
          <w:b/>
        </w:rPr>
        <w:t>Aktenzeichen:</w:t>
      </w:r>
      <w:r>
        <w:t xml:space="preserve"> KBH-2026-001-EFS</w:t>
      </w:r>
    </w:p>
    <w:p>
      <w:pPr>
        <w:jc w:val="left"/>
      </w:pPr>
      <w:r>
        <w:rPr>
          <w:b/>
        </w:rPr>
        <w:t>Stand:</w:t>
      </w:r>
      <w:r>
        <w:t xml:space="preserve"> 22. März 2026</w:t>
      </w:r>
    </w:p>
    <w:p>
      <w:pPr>
        <w:jc w:val="left"/>
      </w:pPr>
      <w:r>
        <w:rPr>
          <w:b/>
        </w:rPr>
        <w:t>Sachbearbeiter:</w:t>
      </w:r>
      <w:r>
        <w:t xml:space="preserve"> Dr. Volker Sandhof (Ressort Versicherungen), RA Monika Hellwig</w:t>
      </w:r>
    </w:p>
    <w:p/>
    <w:p>
      <w:pPr>
        <w:pStyle w:val="Heading2"/>
      </w:pPr>
      <w:r>
        <w:rPr>
          <w:rFonts w:ascii="Times New Roman" w:hAnsi="Times New Roman"/>
        </w:rPr>
        <w:t>1. Gesetzliche Grundlagen</w:t>
      </w:r>
    </w:p>
    <w:p>
      <w:pPr>
        <w:pStyle w:val="Heading3"/>
      </w:pPr>
      <w:r>
        <w:rPr>
          <w:rFonts w:ascii="Times New Roman" w:hAnsi="Times New Roman"/>
        </w:rPr>
        <w:t>§ 51 BRAO — Berufshaftpflichtversicherung (Einzelanwalt)</w:t>
      </w:r>
    </w:p>
    <w:p>
      <w:pPr>
        <w:jc w:val="left"/>
      </w:pPr>
      <w:r>
        <w:t xml:space="preserve">Gemäß § 51 Abs. 1 BRAO ist jeder Rechtsanwalt verpflichtet, eine Berufshaftpflichtversicherung zu unterhalten, die die Haftungsrisiken aus seiner Berufstätigkeit deckt. Die Mindestversicherungssumme beträgt nach § 51 Abs. 4 BRAO </w:t>
      </w:r>
      <w:r>
        <w:rPr>
          <w:b/>
        </w:rPr>
        <w:t>1 Million EUR für den einzelnen Schadensfall</w:t>
      </w:r>
      <w:r>
        <w:t>. Die Jahreshöchstleistung für alle in einem Versicherungsjahr verursachten Schäden kann auf das Vierfache der Mindestversicherungssumme begrenzt werden (§ 51 Abs. 4 Satz 2 BRAO).</w:t>
      </w:r>
    </w:p>
    <w:p>
      <w:pPr>
        <w:pStyle w:val="Heading3"/>
      </w:pPr>
      <w:r>
        <w:rPr>
          <w:rFonts w:ascii="Times New Roman" w:hAnsi="Times New Roman"/>
        </w:rPr>
        <w:t>§ 59j BRAO — Berufshaftpflichtversicherung der RA-GmbH</w:t>
      </w:r>
    </w:p>
    <w:p>
      <w:pPr>
        <w:jc w:val="left"/>
      </w:pPr>
      <w:r>
        <w:t xml:space="preserve">Für die Rechtsanwaltsgesellschaft mbH gilt § 59j BRAO: Die Gesellschaft muss eine Berufshaftpflichtversicherung mit einer Mindestversicherungssumme von </w:t>
      </w:r>
      <w:r>
        <w:rPr>
          <w:b/>
        </w:rPr>
        <w:t>2,5 Millionen EUR für den einzelnen Schadensfall</w:t>
      </w:r>
      <w:r>
        <w:t xml:space="preserve"> unterhalten. Die Jahreshöchstleistung beträgt mindestens das Vierfache, also 10 Millionen EUR.</w:t>
      </w:r>
    </w:p>
    <w:p>
      <w:pPr>
        <w:jc w:val="left"/>
      </w:pPr>
      <w:r>
        <w:t>Die Einzelzulassungen der drei Geschäftsführer als Rechtsanwälte (§ 51 BRAO) werden durch die Gesellschaftsversicherung nicht ersetzt, sofern die Anwälte auch in eigener Verantwortung tätig sind. Im Regelfall einer RA-GmbH wird jedoch die Gesellschaftspolice als primäre Absicherung betrachtet.</w:t>
      </w:r>
    </w:p>
    <w:p/>
    <w:p>
      <w:pPr>
        <w:pStyle w:val="Heading2"/>
      </w:pPr>
      <w:r>
        <w:rPr>
          <w:rFonts w:ascii="Times New Roman" w:hAnsi="Times New Roman"/>
        </w:rPr>
        <w:t>2. Anforderungen an die EFS-GmbH</w:t>
      </w:r>
    </w:p>
    <w:p>
      <w:pPr>
        <w:jc w:val="left"/>
      </w:pPr>
      <w:r>
        <w:t>Die EFS Rechtsanwaltsgesellschaft mbH benötigt:</w:t>
      </w:r>
    </w:p>
    <w:p>
      <w:pPr>
        <w:pStyle w:val="ListNumber"/>
      </w:pPr>
      <w:r>
        <w:t xml:space="preserve">Eine Gesellschafts-Berufshaftpflichtversicherung mit Mindestdeckung </w:t>
      </w:r>
      <w:r>
        <w:rPr>
          <w:b/>
        </w:rPr>
        <w:t>2,5 Millionen EUR/Schadensfall</w:t>
      </w:r>
      <w:r>
        <w:t xml:space="preserve"> (§ 59j BRAO)</w:t>
      </w:r>
    </w:p>
    <w:p>
      <w:pPr>
        <w:pStyle w:val="ListNumber"/>
      </w:pPr>
      <w:r>
        <w:t>Nachweis der Versicherung gegenüber der RAK Aachen als Zulassungsvoraussetzung (§ 59h Abs. 2 Nr. 4 BRAO)</w:t>
      </w:r>
    </w:p>
    <w:p>
      <w:pPr>
        <w:pStyle w:val="ListNumber"/>
      </w:pPr>
      <w:r>
        <w:t>Laufende Aufrechterhaltung; Erlöschen oder Kündigung ist der RAK unverzüglich mitzuteilen (§ 59j Abs. 3 BRAO)</w:t>
      </w:r>
    </w:p>
    <w:p/>
    <w:p>
      <w:pPr>
        <w:pStyle w:val="Heading2"/>
      </w:pPr>
      <w:r>
        <w:rPr>
          <w:rFonts w:ascii="Times New Roman" w:hAnsi="Times New Roman"/>
        </w:rPr>
        <w:t>3. Marktrecherche — Anbieter im Vergleich</w:t>
      </w:r>
    </w:p>
    <w:p>
      <w:pPr>
        <w:jc w:val="left"/>
      </w:pPr>
      <w:r>
        <w:t>Dr. Sandhof führte im März 2026 Angebotsgespräche mit drei Versicherern:</w:t>
      </w:r>
    </w:p>
    <w:p>
      <w:pPr>
        <w:pStyle w:val="Heading3"/>
      </w:pPr>
      <w:r>
        <w:rPr>
          <w:rFonts w:ascii="Times New Roman" w:hAnsi="Times New Roman"/>
        </w:rPr>
        <w:t>Allianz Versicherungs-AG (Angebot 14.03.2026)</w:t>
      </w:r>
    </w:p>
    <w:p>
      <w:pPr>
        <w:pStyle w:val="ListBullet"/>
      </w:pPr>
      <w:r>
        <w:rPr>
          <w:b/>
        </w:rPr>
        <w:t>Produkt:</w:t>
      </w:r>
      <w:r>
        <w:t xml:space="preserve"> Allianz AnwaltProtect für Gesellschaften</w:t>
      </w:r>
    </w:p>
    <w:p>
      <w:pPr>
        <w:pStyle w:val="ListBullet"/>
      </w:pPr>
      <w:r>
        <w:rPr>
          <w:b/>
        </w:rPr>
        <w:t>Deckungssumme:</w:t>
      </w:r>
      <w:r>
        <w:t xml:space="preserve"> 2,5 Mio. EUR je Schadensfall, 10 Mio. EUR Jahresmaximum</w:t>
      </w:r>
    </w:p>
    <w:p>
      <w:pPr>
        <w:pStyle w:val="ListBullet"/>
      </w:pPr>
      <w:r>
        <w:rPr>
          <w:b/>
        </w:rPr>
        <w:t>Jahresprämie (netto):</w:t>
      </w:r>
      <w:r>
        <w:t xml:space="preserve"> 8.400 EUR</w:t>
      </w:r>
    </w:p>
    <w:p>
      <w:pPr>
        <w:pStyle w:val="ListBullet"/>
      </w:pPr>
      <w:r>
        <w:rPr>
          <w:b/>
        </w:rPr>
        <w:t>Selbstbehalt:</w:t>
      </w:r>
      <w:r>
        <w:t xml:space="preserve"> 2.500 EUR je Schadensfall</w:t>
      </w:r>
    </w:p>
    <w:p>
      <w:pPr>
        <w:pStyle w:val="ListBullet"/>
      </w:pPr>
      <w:r>
        <w:rPr>
          <w:b/>
        </w:rPr>
        <w:t>Besonderheiten:</w:t>
      </w:r>
      <w:r>
        <w:t xml:space="preserve"> Abdeckung von IT-Haftpflicht bis 150.000 EUR inkl.; keine Deckung bei vorsätzlichem Handeln (BGH-Standardklausel)</w:t>
      </w:r>
    </w:p>
    <w:p>
      <w:pPr>
        <w:pStyle w:val="ListBullet"/>
      </w:pPr>
      <w:r>
        <w:rPr>
          <w:b/>
        </w:rPr>
        <w:t>Vorteile:</w:t>
      </w:r>
      <w:r>
        <w:t xml:space="preserve"> Marktführer; schnelle Schadenregulierung; Regionalvertreter Aachen vorhanden</w:t>
      </w:r>
    </w:p>
    <w:p>
      <w:pPr>
        <w:pStyle w:val="Heading3"/>
      </w:pPr>
      <w:r>
        <w:rPr>
          <w:rFonts w:ascii="Times New Roman" w:hAnsi="Times New Roman"/>
        </w:rPr>
        <w:t>HDI-Gerling Industrie Versicherung AG (Angebot 18.03.2026)</w:t>
      </w:r>
    </w:p>
    <w:p>
      <w:pPr>
        <w:pStyle w:val="ListBullet"/>
      </w:pPr>
      <w:r>
        <w:rPr>
          <w:b/>
        </w:rPr>
        <w:t>Produkt:</w:t>
      </w:r>
      <w:r>
        <w:t xml:space="preserve"> HDI AnwaltsPlusPolice</w:t>
      </w:r>
    </w:p>
    <w:p>
      <w:pPr>
        <w:pStyle w:val="ListBullet"/>
      </w:pPr>
      <w:r>
        <w:rPr>
          <w:b/>
        </w:rPr>
        <w:t>Deckungssumme:</w:t>
      </w:r>
      <w:r>
        <w:t xml:space="preserve"> 2,5 Mio. EUR je Schadensfall, 12,5 Mio. EUR Jahresmaximum</w:t>
      </w:r>
    </w:p>
    <w:p>
      <w:pPr>
        <w:pStyle w:val="ListBullet"/>
      </w:pPr>
      <w:r>
        <w:rPr>
          <w:b/>
        </w:rPr>
        <w:t>Jahresprämie (netto):</w:t>
      </w:r>
      <w:r>
        <w:t xml:space="preserve"> 7.950 EUR</w:t>
      </w:r>
    </w:p>
    <w:p>
      <w:pPr>
        <w:pStyle w:val="ListBullet"/>
      </w:pPr>
      <w:r>
        <w:rPr>
          <w:b/>
        </w:rPr>
        <w:t>Selbstbehalt:</w:t>
      </w:r>
      <w:r>
        <w:t xml:space="preserve"> 3.000 EUR je Schadensfall</w:t>
      </w:r>
    </w:p>
    <w:p>
      <w:pPr>
        <w:pStyle w:val="ListBullet"/>
      </w:pPr>
      <w:r>
        <w:rPr>
          <w:b/>
        </w:rPr>
        <w:t>Besonderheiten:</w:t>
      </w:r>
      <w:r>
        <w:t xml:space="preserve"> Erweiterte Auslandsdeckung für EU-Mandate; Cyber-Add-on optional (250 EUR/Jahr)</w:t>
      </w:r>
    </w:p>
    <w:p>
      <w:pPr>
        <w:pStyle w:val="ListBullet"/>
      </w:pPr>
      <w:r>
        <w:rPr>
          <w:b/>
        </w:rPr>
        <w:t>Vorteile:</w:t>
      </w:r>
      <w:r>
        <w:t xml:space="preserve"> Günstigere Prämie; höheres Jahresmaximum</w:t>
      </w:r>
    </w:p>
    <w:p>
      <w:pPr>
        <w:pStyle w:val="Heading3"/>
      </w:pPr>
      <w:r>
        <w:rPr>
          <w:rFonts w:ascii="Times New Roman" w:hAnsi="Times New Roman"/>
        </w:rPr>
        <w:t>Zürich Insurance Group (Angebot 20.03.2026)</w:t>
      </w:r>
    </w:p>
    <w:p>
      <w:pPr>
        <w:pStyle w:val="ListBullet"/>
      </w:pPr>
      <w:r>
        <w:rPr>
          <w:b/>
        </w:rPr>
        <w:t>Produkt:</w:t>
      </w:r>
      <w:r>
        <w:t xml:space="preserve"> Zürich AnwaltHaftpflicht Pro</w:t>
      </w:r>
    </w:p>
    <w:p>
      <w:pPr>
        <w:pStyle w:val="ListBullet"/>
      </w:pPr>
      <w:r>
        <w:rPr>
          <w:b/>
        </w:rPr>
        <w:t>Deckungssumme:</w:t>
      </w:r>
      <w:r>
        <w:t xml:space="preserve"> 2,5 Mio. EUR je Schadensfall, 10 Mio. EUR Jahresmaximum</w:t>
      </w:r>
    </w:p>
    <w:p>
      <w:pPr>
        <w:pStyle w:val="ListBullet"/>
      </w:pPr>
      <w:r>
        <w:rPr>
          <w:b/>
        </w:rPr>
        <w:t>Jahresprämie (netto):</w:t>
      </w:r>
      <w:r>
        <w:t xml:space="preserve"> 9.200 EUR</w:t>
      </w:r>
    </w:p>
    <w:p>
      <w:pPr>
        <w:pStyle w:val="ListBullet"/>
      </w:pPr>
      <w:r>
        <w:rPr>
          <w:b/>
        </w:rPr>
        <w:t>Selbstbehalt:</w:t>
      </w:r>
      <w:r>
        <w:t xml:space="preserve"> 1.500 EUR je Schadensfall</w:t>
      </w:r>
    </w:p>
    <w:p>
      <w:pPr>
        <w:pStyle w:val="ListBullet"/>
      </w:pPr>
      <w:r>
        <w:rPr>
          <w:b/>
        </w:rPr>
        <w:t>Besonderheiten:</w:t>
      </w:r>
      <w:r>
        <w:t xml:space="preserve"> Niedrigster Selbstbehalt; inkl. Beraterhaftpflicht für StB-Tätigkeiten Sandhof</w:t>
      </w:r>
    </w:p>
    <w:p>
      <w:pPr>
        <w:pStyle w:val="ListBullet"/>
      </w:pPr>
      <w:r>
        <w:rPr>
          <w:b/>
        </w:rPr>
        <w:t>Vorteile:</w:t>
      </w:r>
      <w:r>
        <w:t xml:space="preserve"> Deckung StB-Tätigkeiten ist für Sandhof relevant</w:t>
      </w:r>
    </w:p>
    <w:p/>
    <w:p>
      <w:pPr>
        <w:pStyle w:val="Heading2"/>
      </w:pPr>
      <w:r>
        <w:rPr>
          <w:rFonts w:ascii="Times New Roman" w:hAnsi="Times New Roman"/>
        </w:rPr>
        <w:t>4. Bewertung und Empfehlung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Kriterium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Allianz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HDI-Gerling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Zürich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Deckungssumme (Schadensfall)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2,5 Mio.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2,5 Mio.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2,5 Mio.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Jahresmaximum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 Mio.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12,5 Mio.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 Mio.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Jahresprämie (netto)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8.400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7.950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9.200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Selbstbehalt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2.500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1.500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IT-Deckung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 (Zusatz)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StB-Deckung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Empfehlung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Gut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Gut bei StB</w:t>
            </w:r>
          </w:p>
        </w:tc>
      </w:tr>
    </w:tbl>
    <w:p>
      <w:pPr>
        <w:jc w:val="left"/>
      </w:pPr>
      <w:r>
        <w:rPr>
          <w:b/>
        </w:rPr>
        <w:t>Empfehlung:</w:t>
      </w:r>
      <w:r>
        <w:t xml:space="preserve"> Allianz (primäre Kanzleipolice) zzgl. Zürich StB-Police für Sandhof (Jahresprämie ca. 1.800 EUR). Gesamtkosten ca. 10.200 EUR/Jahr netto.</w:t>
      </w:r>
    </w:p>
    <w:p>
      <w:pPr>
        <w:jc w:val="left"/>
      </w:pPr>
      <w:r>
        <w:t>Die Vorstandschaft hat die Empfehlung am 22.03.2026 angenommen. Vertragsschluss Allianz erfolgt nach RAK-Zulassung. Vorläufige Deckungszusage (Allianz) liegt seit 25.03.2026 vor.</w:t>
      </w:r>
    </w:p>
    <w:p/>
    <w:p>
      <w:pPr>
        <w:pStyle w:val="Heading2"/>
      </w:pPr>
      <w:r>
        <w:rPr>
          <w:rFonts w:ascii="Times New Roman" w:hAnsi="Times New Roman"/>
        </w:rPr>
        <w:t>5. Meldepflicht gegenüber RAK Aachen</w:t>
      </w:r>
    </w:p>
    <w:p>
      <w:pPr>
        <w:jc w:val="left"/>
      </w:pPr>
      <w:r>
        <w:t>Gemäß § 59j Abs. 2 BRAO ist der Abschluss und der Bestand der Versicherung der RAK Aachen auf Anforderung nachzuweisen. Die Versicherungsbestätigung ist dem Zulassungsantrag (Aktenstück 08) als Anlage beizufügen.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BRAO § 51 (Berufshaftpflicht Einzelanwalt): dejure.org/gesetze/BRAO/51</w:t>
      </w:r>
    </w:p>
    <w:p>
      <w:pPr>
        <w:pStyle w:val="ListBullet"/>
      </w:pPr>
      <w:r>
        <w:t>BRAO § 59j (Berufshaftpflicht RA-GmbH): dejure.org/gesetze/BRAO/59j</w:t>
      </w:r>
    </w:p>
    <w:p>
      <w:pPr>
        <w:pStyle w:val="ListBullet"/>
      </w:pPr>
      <w:r>
        <w:t>BRAO § 59h (Zulassung RA-GmbH): dejure.org/gesetze/BRAO/59h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