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Betriebsübergang § 613a BGB — Übernahme aus drei Vorgängerkanzleien</w:t>
      </w:r>
    </w:p>
    <w:p>
      <w:pPr>
        <w:jc w:val="left"/>
      </w:pPr>
      <w:r>
        <w:rPr>
          <w:b/>
        </w:rPr>
        <w:t>Aktenzeichen:</w:t>
      </w:r>
      <w:r>
        <w:t xml:space="preserve"> KBH-2026-001-EFS</w:t>
      </w:r>
    </w:p>
    <w:p>
      <w:pPr>
        <w:jc w:val="left"/>
      </w:pPr>
      <w:r>
        <w:rPr>
          <w:b/>
        </w:rPr>
        <w:t>Stand:</w:t>
      </w:r>
      <w:r>
        <w:t xml:space="preserve"> 01. April 2026</w:t>
      </w:r>
    </w:p>
    <w:p>
      <w:pPr>
        <w:jc w:val="left"/>
      </w:pPr>
      <w:r>
        <w:rPr>
          <w:b/>
        </w:rPr>
        <w:t>Bearbeiterin:</w:t>
      </w:r>
      <w:r>
        <w:t xml:space="preserve"> RA Monika Hellwig, Dr. Matthias Friedrich (intern, Fachberatung Arbeitsrecht)</w:t>
      </w:r>
    </w:p>
    <w:p/>
    <w:p>
      <w:pPr>
        <w:pStyle w:val="Heading2"/>
      </w:pPr>
      <w:r>
        <w:rPr>
          <w:rFonts w:ascii="Times New Roman" w:hAnsi="Times New Roman"/>
        </w:rPr>
        <w:t>1. Überblick Mitarbeiterstruktur</w:t>
      </w:r>
    </w:p>
    <w:p>
      <w:pPr>
        <w:jc w:val="left"/>
      </w:pPr>
      <w:r>
        <w:t xml:space="preserve">Die EFS-GmbH übernimmt zum 01. Mai 2026 insgesamt </w:t>
      </w:r>
      <w:r>
        <w:rPr>
          <w:b/>
        </w:rPr>
        <w:t>12 Mitarbeiter</w:t>
      </w:r>
      <w:r>
        <w:t xml:space="preserve"> aus drei Vorgängerkanzleien: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Vorgängerkanzlei</w:t>
            </w:r>
          </w:p>
        </w:tc>
        <w:tc>
          <w:tcPr>
            <w:tcW w:type="dxa" w:w="3024"/>
          </w:tcPr>
          <w:p>
            <w:r>
              <w:rPr>
                <w:rFonts w:ascii="Times New Roman" w:hAnsi="Times New Roman"/>
                <w:b/>
                <w:sz w:val="20"/>
              </w:rPr>
              <w:t>Übernehmende Mitarbeiter</w:t>
            </w:r>
          </w:p>
        </w:tc>
        <w:tc>
          <w:tcPr>
            <w:tcW w:type="dxa" w:w="3024"/>
          </w:tcPr>
          <w:p>
            <w:r>
              <w:rPr>
                <w:rFonts w:ascii="Times New Roman" w:hAnsi="Times New Roman"/>
                <w:b/>
                <w:sz w:val="20"/>
              </w:rPr>
              <w:t>Übergebender Rechtsträger</w:t>
            </w:r>
          </w:p>
        </w:tc>
      </w:tr>
      <w:tr>
        <w:tc>
          <w:tcPr>
            <w:tcW w:type="dxa" w:w="3024"/>
          </w:tcPr>
          <w:p>
            <w:r>
              <w:rPr>
                <w:rFonts w:ascii="Times New Roman" w:hAnsi="Times New Roman"/>
                <w:sz w:val="20"/>
              </w:rPr>
              <w:t>Eckermann Sozialrecht (Einzelkanzlei)</w:t>
            </w:r>
          </w:p>
        </w:tc>
        <w:tc>
          <w:tcPr>
            <w:tcW w:type="dxa" w:w="3024"/>
          </w:tcPr>
          <w:p>
            <w:r>
              <w:rPr>
                <w:rFonts w:ascii="Times New Roman" w:hAnsi="Times New Roman"/>
                <w:sz w:val="20"/>
              </w:rPr>
              <w:t>4</w:t>
            </w:r>
          </w:p>
        </w:tc>
        <w:tc>
          <w:tcPr>
            <w:tcW w:type="dxa" w:w="3024"/>
          </w:tcPr>
          <w:p>
            <w:r>
              <w:rPr>
                <w:rFonts w:ascii="Times New Roman" w:hAnsi="Times New Roman"/>
                <w:sz w:val="20"/>
              </w:rPr>
              <w:t>Dr. Hilke Eckermann (natürliche Person)</w:t>
            </w:r>
          </w:p>
        </w:tc>
      </w:tr>
      <w:tr>
        <w:tc>
          <w:tcPr>
            <w:tcW w:type="dxa" w:w="3024"/>
          </w:tcPr>
          <w:p>
            <w:r>
              <w:rPr>
                <w:rFonts w:ascii="Times New Roman" w:hAnsi="Times New Roman"/>
                <w:sz w:val="20"/>
              </w:rPr>
              <w:t>Friedrich &amp; Brandt GbR</w:t>
            </w:r>
          </w:p>
        </w:tc>
        <w:tc>
          <w:tcPr>
            <w:tcW w:type="dxa" w:w="3024"/>
          </w:tcPr>
          <w:p>
            <w:r>
              <w:rPr>
                <w:rFonts w:ascii="Times New Roman" w:hAnsi="Times New Roman"/>
                <w:sz w:val="20"/>
              </w:rPr>
              <w:t>5</w:t>
            </w:r>
          </w:p>
        </w:tc>
        <w:tc>
          <w:tcPr>
            <w:tcW w:type="dxa" w:w="3024"/>
          </w:tcPr>
          <w:p>
            <w:r>
              <w:rPr>
                <w:rFonts w:ascii="Times New Roman" w:hAnsi="Times New Roman"/>
                <w:sz w:val="20"/>
              </w:rPr>
              <w:t>Friedrich &amp; Brandt Rechtsanwälte GbR i.A.</w:t>
            </w:r>
          </w:p>
        </w:tc>
      </w:tr>
      <w:tr>
        <w:tc>
          <w:tcPr>
            <w:tcW w:type="dxa" w:w="3024"/>
          </w:tcPr>
          <w:p>
            <w:r>
              <w:rPr>
                <w:rFonts w:ascii="Times New Roman" w:hAnsi="Times New Roman"/>
                <w:sz w:val="20"/>
              </w:rPr>
              <w:t>Sandhof Steuerrecht GbR</w:t>
            </w:r>
          </w:p>
        </w:tc>
        <w:tc>
          <w:tcPr>
            <w:tcW w:type="dxa" w:w="3024"/>
          </w:tcPr>
          <w:p>
            <w:r>
              <w:rPr>
                <w:rFonts w:ascii="Times New Roman" w:hAnsi="Times New Roman"/>
                <w:sz w:val="20"/>
              </w:rPr>
              <w:t>3</w:t>
            </w:r>
          </w:p>
        </w:tc>
        <w:tc>
          <w:tcPr>
            <w:tcW w:type="dxa" w:w="3024"/>
          </w:tcPr>
          <w:p>
            <w:r>
              <w:rPr>
                <w:rFonts w:ascii="Times New Roman" w:hAnsi="Times New Roman"/>
                <w:sz w:val="20"/>
              </w:rPr>
              <w:t>Sandhof Steuerrecht GbR (anteilig)</w:t>
            </w:r>
          </w:p>
        </w:tc>
      </w:tr>
    </w:tbl>
    <w:p>
      <w:pPr>
        <w:jc w:val="left"/>
      </w:pPr>
      <w:r>
        <w:rPr>
          <w:b/>
        </w:rPr>
        <w:t>Gesamt:</w:t>
      </w:r>
      <w:r>
        <w:t xml:space="preserve"> 12 Mitarbeiter</w:t>
      </w:r>
    </w:p>
    <w:p/>
    <w:p>
      <w:pPr>
        <w:pStyle w:val="Heading2"/>
      </w:pPr>
      <w:r>
        <w:rPr>
          <w:rFonts w:ascii="Times New Roman" w:hAnsi="Times New Roman"/>
        </w:rPr>
        <w:t>2. Rechtliche Einordnung nach § 613a BGB</w:t>
      </w:r>
    </w:p>
    <w:p>
      <w:pPr>
        <w:pStyle w:val="Heading3"/>
      </w:pPr>
      <w:r>
        <w:rPr>
          <w:rFonts w:ascii="Times New Roman" w:hAnsi="Times New Roman"/>
        </w:rPr>
        <w:t>Tatbestand Betriebsübergang</w:t>
      </w:r>
    </w:p>
    <w:p>
      <w:pPr>
        <w:jc w:val="left"/>
      </w:pPr>
      <w:r>
        <w:t>§ 613a BGB setzt voraus, dass ein Betrieb oder Betriebsteil durch Rechtsgeschäft auf einen anderen Inhaber übergeht. Die BAG-Rechtsprechung (insbesondere BAG, Urt. v. 22.05.1997, 8 AZR 101/96) hat den Begriff des "Rechtsgeschäfts" weit ausgelegt und erfasst auch den Übergang einer Kanzlei.</w:t>
      </w:r>
    </w:p>
    <w:p>
      <w:pPr>
        <w:jc w:val="left"/>
      </w:pPr>
      <w:r>
        <w:rPr>
          <w:b/>
        </w:rPr>
        <w:t>Bei Eckermann:</w:t>
      </w:r>
      <w:r>
        <w:t xml:space="preserve"> Eindeutiger Betriebsübergang, da die gesamte Einzelkanzlei (Räume, Mandantenstamm, Mitarbeiter, IT, Büroausstattung) auf die EFS-GmbH übergeht.</w:t>
      </w:r>
    </w:p>
    <w:p>
      <w:pPr>
        <w:jc w:val="left"/>
      </w:pPr>
      <w:r>
        <w:rPr>
          <w:b/>
        </w:rPr>
        <w:t>Bei Friedrich &amp; Brandt GbR:</w:t>
      </w:r>
      <w:r>
        <w:t xml:space="preserve"> Betriebsübergang hinsichtlich des Friedrich-Anteils. Da die GbR aufgelöst wird und Brandt seinen Anteil nach München mitnimmt, handelt es sich um den Übergang eines Betriebsteils i.S.d. § 613a Abs. 1 BGB.</w:t>
      </w:r>
    </w:p>
    <w:p>
      <w:pPr>
        <w:jc w:val="left"/>
      </w:pPr>
      <w:r>
        <w:rPr>
          <w:b/>
        </w:rPr>
        <w:t>Bei Sandhof GbR:</w:t>
      </w:r>
      <w:r>
        <w:t xml:space="preserve"> Nur anteiliger Übergang (Sandhof-Anteil). Die beiden Sandhof-Schwestern führen die GbR fort. Dies ist ein Betriebsteilübergang. Entscheidend ist, ob der auf Sandhof entfallende Teil — inklusive der drei Mitarbeiter und des Mandantenstamms — eine eigenständig organisatorische Einheit bildet (BAG, Urt. v. 16.05.2007, 8 AZR 693/06). Dies ist nach Aktenlage zu bejahen.</w:t>
      </w:r>
    </w:p>
    <w:p/>
    <w:p>
      <w:pPr>
        <w:pStyle w:val="Heading2"/>
      </w:pPr>
      <w:r>
        <w:rPr>
          <w:rFonts w:ascii="Times New Roman" w:hAnsi="Times New Roman"/>
        </w:rPr>
        <w:t>3. Rechtsfolgen nach § 613a BGB</w:t>
      </w:r>
    </w:p>
    <w:p>
      <w:pPr>
        <w:pStyle w:val="Heading3"/>
      </w:pPr>
      <w:r>
        <w:rPr>
          <w:rFonts w:ascii="Times New Roman" w:hAnsi="Times New Roman"/>
        </w:rPr>
        <w:t>Übergang der Arbeitsverhältnisse</w:t>
      </w:r>
    </w:p>
    <w:p>
      <w:pPr>
        <w:jc w:val="left"/>
      </w:pPr>
      <w:r>
        <w:t>Mit dem Betriebsübergang gehen gemäß § 613a Abs. 1 Satz 1 BGB die Rechte und Pflichten aus den bestehenden Arbeitsverhältnissen auf den neuen Inhaber (EFS-GmbH) über. Dies umfasst:</w:t>
      </w:r>
    </w:p>
    <w:p>
      <w:pPr>
        <w:pStyle w:val="ListBullet"/>
      </w:pPr>
      <w:r>
        <w:t>Arbeitsentgelt und sonstige Vergütungsbestandteile</w:t>
      </w:r>
    </w:p>
    <w:p>
      <w:pPr>
        <w:pStyle w:val="ListBullet"/>
      </w:pPr>
      <w:r>
        <w:t>Urlaubsansprüche (auch übertragene Resturlaube)</w:t>
      </w:r>
    </w:p>
    <w:p>
      <w:pPr>
        <w:pStyle w:val="ListBullet"/>
      </w:pPr>
      <w:r>
        <w:t>Betriebliche Altersversorgungsansprüche (§ 613a Abs. 1 Satz 3 BGB — ein Jahr lang unveränderbar)</w:t>
      </w:r>
    </w:p>
    <w:p>
      <w:pPr>
        <w:pStyle w:val="ListBullet"/>
      </w:pPr>
      <w:r>
        <w:t>Alle vertraglichen Nebenpflichten</w:t>
      </w:r>
    </w:p>
    <w:p>
      <w:pPr>
        <w:pStyle w:val="Heading3"/>
      </w:pPr>
      <w:r>
        <w:rPr>
          <w:rFonts w:ascii="Times New Roman" w:hAnsi="Times New Roman"/>
        </w:rPr>
        <w:t>Kündigungsschutz</w:t>
      </w:r>
    </w:p>
    <w:p>
      <w:pPr>
        <w:jc w:val="left"/>
      </w:pPr>
      <w:r>
        <w:t>Gemäß § 613a Abs. 4 BGB ist die Kündigung des Arbeitsverhältnisses durch den bisherigen Inhaber oder durch den neuen Inhaber wegen des Übergangs des Betriebs unwirksam. Das Recht zur Kündigung aus anderen Gründen bleibt unberührt.</w:t>
      </w:r>
    </w:p>
    <w:p>
      <w:pPr>
        <w:jc w:val="left"/>
      </w:pPr>
      <w:r>
        <w:t>Eine betriebsbedingte Kündigung während des Übergangsprozesses ist damit ausgeschlossen, solange sie allein auf den Betriebsübergang gestützt wird.</w:t>
      </w:r>
    </w:p>
    <w:p/>
    <w:p>
      <w:pPr>
        <w:pStyle w:val="Heading2"/>
      </w:pPr>
      <w:r>
        <w:rPr>
          <w:rFonts w:ascii="Times New Roman" w:hAnsi="Times New Roman"/>
        </w:rPr>
        <w:t>4. Informationspflicht nach § 613a Abs. 5 BGB</w:t>
      </w:r>
    </w:p>
    <w:p>
      <w:pPr>
        <w:jc w:val="left"/>
      </w:pPr>
      <w:r>
        <w:t>Der bisherige und der neue Inhaber sind verpflichtet, die von einem Betriebsübergang betroffenen Arbeitnehmer vor dem Übergang in Textform zu unterrichten. Das Unterrichtungsschreiben muss mindestens folgende Angaben enthalten (§ 613a Abs. 5 BRAO):</w:t>
      </w:r>
    </w:p>
    <w:p>
      <w:pPr>
        <w:pStyle w:val="ListNumber"/>
      </w:pPr>
      <w:r>
        <w:t>Zeitpunkt oder geplanter Zeitpunkt des Übergangs</w:t>
      </w:r>
    </w:p>
    <w:p>
      <w:pPr>
        <w:pStyle w:val="ListNumber"/>
      </w:pPr>
      <w:r>
        <w:t>Grund für den Übergang</w:t>
      </w:r>
    </w:p>
    <w:p>
      <w:pPr>
        <w:pStyle w:val="ListNumber"/>
      </w:pPr>
      <w:r>
        <w:t>Rechtliche, wirtschaftliche und soziale Folgen des Übergangs für die Arbeitnehmer</w:t>
      </w:r>
    </w:p>
    <w:p>
      <w:pPr>
        <w:pStyle w:val="ListNumber"/>
      </w:pPr>
      <w:r>
        <w:t>Hinsichtlich der Arbeitnehmer in Aussicht genommene Maßnahmen</w:t>
      </w:r>
    </w:p>
    <w:p>
      <w:pPr>
        <w:jc w:val="left"/>
      </w:pPr>
      <w:r>
        <w:rPr>
          <w:b/>
        </w:rPr>
        <w:t>Unterrichtungsschreiben versandt:</w:t>
      </w:r>
      <w:r>
        <w:t xml:space="preserve"> 01. April 2026</w:t>
      </w:r>
    </w:p>
    <w:p>
      <w:pPr>
        <w:jc w:val="left"/>
      </w:pPr>
      <w:r>
        <w:rPr>
          <w:b/>
        </w:rPr>
        <w:t>Frist Widerspruchsrecht:</w:t>
      </w:r>
      <w:r>
        <w:t xml:space="preserve"> 01. Mai 2026 (= Übernahmezeitpunkt; § 613a Abs. 6 Satz 2 BGB: innerhalb eines Monats nach Zugang)</w:t>
      </w:r>
    </w:p>
    <w:p>
      <w:pPr>
        <w:jc w:val="left"/>
      </w:pPr>
      <w:r>
        <w:t xml:space="preserve">Das Muster-Unterrichtungsschreiben ist als DOCX-Anlage (s. </w:t>
      </w:r>
      <w:r>
        <w:t>betriebsuebernahme_par613a_mitarbeiterinfo.docx</w:t>
      </w:r>
      <w:r>
        <w:t>) beigefügt.</w:t>
      </w:r>
    </w:p>
    <w:p/>
    <w:p>
      <w:pPr>
        <w:pStyle w:val="Heading2"/>
      </w:pPr>
      <w:r>
        <w:rPr>
          <w:rFonts w:ascii="Times New Roman" w:hAnsi="Times New Roman"/>
        </w:rPr>
        <w:t>5. Widerspruchsrecht der Arbeitnehmer (§ 613a Abs. 6 BGB)</w:t>
      </w:r>
    </w:p>
    <w:p>
      <w:pPr>
        <w:jc w:val="left"/>
      </w:pPr>
      <w:r>
        <w:t>Jeder Arbeitnehmer kann dem Übergang seines Arbeitsverhältnisses widersprechen. Der Widerspruch muss schriftlich erfolgen und ist gegenüber dem bisherigen oder dem neuen Inhaber zu erklären.</w:t>
      </w:r>
    </w:p>
    <w:p>
      <w:pPr>
        <w:jc w:val="left"/>
      </w:pPr>
      <w:r>
        <w:rPr>
          <w:b/>
        </w:rPr>
        <w:t>Folge des Widerspruchs:</w:t>
      </w:r>
      <w:r>
        <w:t xml:space="preserve"> Das Arbeitsverhältnis besteht beim bisherigen Inhaber fort. Da Eckermanns Einzelkanzlei als solche erlischt und die GbR Friedrich &amp; Brandt aufgelöst wird, droht Widersprechenden faktisch das Ausscheiden mit Überleitungsansprüchen (ggf. Sozialplanpflicht, wenn Schwellenwert § 111 BetrVG erreicht).</w:t>
      </w:r>
    </w:p>
    <w:p>
      <w:pPr>
        <w:jc w:val="left"/>
      </w:pPr>
      <w:r>
        <w:t>Zu beachten: Da keine der Vorgängerkanzleien einen Betriebsrat hat, bestehen keine Anhörungs- oder Mitbestimmungsrechte nach §§ 111, 112 BetrVG.</w:t>
      </w:r>
    </w:p>
    <w:p/>
    <w:p>
      <w:pPr>
        <w:pStyle w:val="Heading2"/>
      </w:pPr>
      <w:r>
        <w:rPr>
          <w:rFonts w:ascii="Times New Roman" w:hAnsi="Times New Roman"/>
        </w:rPr>
        <w:t>6. Mitarbeiterliste (anonymisiert)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Funktion</w:t>
            </w:r>
          </w:p>
        </w:tc>
        <w:tc>
          <w:tcPr>
            <w:tcW w:type="dxa" w:w="2268"/>
          </w:tcPr>
          <w:p>
            <w:r>
              <w:rPr>
                <w:rFonts w:ascii="Times New Roman" w:hAnsi="Times New Roman"/>
                <w:b/>
                <w:sz w:val="20"/>
              </w:rPr>
              <w:t>Bisherige Kanzlei</w:t>
            </w:r>
          </w:p>
        </w:tc>
        <w:tc>
          <w:tcPr>
            <w:tcW w:type="dxa" w:w="2268"/>
          </w:tcPr>
          <w:p>
            <w:r>
              <w:rPr>
                <w:rFonts w:ascii="Times New Roman" w:hAnsi="Times New Roman"/>
                <w:b/>
                <w:sz w:val="20"/>
              </w:rPr>
              <w:t>Übernommen</w:t>
            </w:r>
          </w:p>
        </w:tc>
      </w:tr>
      <w:tr>
        <w:tc>
          <w:tcPr>
            <w:tcW w:type="dxa" w:w="2268"/>
          </w:tcPr>
          <w:p>
            <w:r>
              <w:rPr>
                <w:rFonts w:ascii="Times New Roman" w:hAnsi="Times New Roman"/>
                <w:sz w:val="20"/>
              </w:rPr>
              <w:t>1</w:t>
            </w:r>
          </w:p>
        </w:tc>
        <w:tc>
          <w:tcPr>
            <w:tcW w:type="dxa" w:w="2268"/>
          </w:tcPr>
          <w:p>
            <w:r>
              <w:rPr>
                <w:rFonts w:ascii="Times New Roman" w:hAnsi="Times New Roman"/>
                <w:sz w:val="20"/>
              </w:rPr>
              <w:t>Rechtsanwältin (2 Jahre Berufserfahrung)</w:t>
            </w:r>
          </w:p>
        </w:tc>
        <w:tc>
          <w:tcPr>
            <w:tcW w:type="dxa" w:w="2268"/>
          </w:tcPr>
          <w:p>
            <w:r>
              <w:rPr>
                <w:rFonts w:ascii="Times New Roman" w:hAnsi="Times New Roman"/>
                <w:sz w:val="20"/>
              </w:rPr>
              <w:t>Eckermann</w:t>
            </w:r>
          </w:p>
        </w:tc>
        <w:tc>
          <w:tcPr>
            <w:tcW w:type="dxa" w:w="2268"/>
          </w:tcPr>
          <w:p>
            <w:r>
              <w:rPr>
                <w:rFonts w:ascii="Times New Roman" w:hAnsi="Times New Roman"/>
                <w:sz w:val="20"/>
              </w:rPr>
              <w:t>Ja</w:t>
            </w:r>
          </w:p>
        </w:tc>
      </w:tr>
      <w:tr>
        <w:tc>
          <w:tcPr>
            <w:tcW w:type="dxa" w:w="2268"/>
          </w:tcPr>
          <w:p>
            <w:r>
              <w:rPr>
                <w:rFonts w:ascii="Times New Roman" w:hAnsi="Times New Roman"/>
                <w:sz w:val="20"/>
              </w:rPr>
              <w:t>2</w:t>
            </w:r>
          </w:p>
        </w:tc>
        <w:tc>
          <w:tcPr>
            <w:tcW w:type="dxa" w:w="2268"/>
          </w:tcPr>
          <w:p>
            <w:r>
              <w:rPr>
                <w:rFonts w:ascii="Times New Roman" w:hAnsi="Times New Roman"/>
                <w:sz w:val="20"/>
              </w:rPr>
              <w:t>ReFa (15 Jahre)</w:t>
            </w:r>
          </w:p>
        </w:tc>
        <w:tc>
          <w:tcPr>
            <w:tcW w:type="dxa" w:w="2268"/>
          </w:tcPr>
          <w:p>
            <w:r>
              <w:rPr>
                <w:rFonts w:ascii="Times New Roman" w:hAnsi="Times New Roman"/>
                <w:sz w:val="20"/>
              </w:rPr>
              <w:t>Eckermann</w:t>
            </w:r>
          </w:p>
        </w:tc>
        <w:tc>
          <w:tcPr>
            <w:tcW w:type="dxa" w:w="2268"/>
          </w:tcPr>
          <w:p>
            <w:r>
              <w:rPr>
                <w:rFonts w:ascii="Times New Roman" w:hAnsi="Times New Roman"/>
                <w:sz w:val="20"/>
              </w:rPr>
              <w:t>Ja</w:t>
            </w:r>
          </w:p>
        </w:tc>
      </w:tr>
      <w:tr>
        <w:tc>
          <w:tcPr>
            <w:tcW w:type="dxa" w:w="2268"/>
          </w:tcPr>
          <w:p>
            <w:r>
              <w:rPr>
                <w:rFonts w:ascii="Times New Roman" w:hAnsi="Times New Roman"/>
                <w:sz w:val="20"/>
              </w:rPr>
              <w:t>3</w:t>
            </w:r>
          </w:p>
        </w:tc>
        <w:tc>
          <w:tcPr>
            <w:tcW w:type="dxa" w:w="2268"/>
          </w:tcPr>
          <w:p>
            <w:r>
              <w:rPr>
                <w:rFonts w:ascii="Times New Roman" w:hAnsi="Times New Roman"/>
                <w:sz w:val="20"/>
              </w:rPr>
              <w:t>ReFa (8 Jahre)</w:t>
            </w:r>
          </w:p>
        </w:tc>
        <w:tc>
          <w:tcPr>
            <w:tcW w:type="dxa" w:w="2268"/>
          </w:tcPr>
          <w:p>
            <w:r>
              <w:rPr>
                <w:rFonts w:ascii="Times New Roman" w:hAnsi="Times New Roman"/>
                <w:sz w:val="20"/>
              </w:rPr>
              <w:t>Eckermann</w:t>
            </w:r>
          </w:p>
        </w:tc>
        <w:tc>
          <w:tcPr>
            <w:tcW w:type="dxa" w:w="2268"/>
          </w:tcPr>
          <w:p>
            <w:r>
              <w:rPr>
                <w:rFonts w:ascii="Times New Roman" w:hAnsi="Times New Roman"/>
                <w:sz w:val="20"/>
              </w:rPr>
              <w:t>Ja</w:t>
            </w:r>
          </w:p>
        </w:tc>
      </w:tr>
      <w:tr>
        <w:tc>
          <w:tcPr>
            <w:tcW w:type="dxa" w:w="2268"/>
          </w:tcPr>
          <w:p>
            <w:r>
              <w:rPr>
                <w:rFonts w:ascii="Times New Roman" w:hAnsi="Times New Roman"/>
                <w:sz w:val="20"/>
              </w:rPr>
              <w:t>4</w:t>
            </w:r>
          </w:p>
        </w:tc>
        <w:tc>
          <w:tcPr>
            <w:tcW w:type="dxa" w:w="2268"/>
          </w:tcPr>
          <w:p>
            <w:r>
              <w:rPr>
                <w:rFonts w:ascii="Times New Roman" w:hAnsi="Times New Roman"/>
                <w:sz w:val="20"/>
              </w:rPr>
              <w:t>Auszubildende (2. Lehrjahr)</w:t>
            </w:r>
          </w:p>
        </w:tc>
        <w:tc>
          <w:tcPr>
            <w:tcW w:type="dxa" w:w="2268"/>
          </w:tcPr>
          <w:p>
            <w:r>
              <w:rPr>
                <w:rFonts w:ascii="Times New Roman" w:hAnsi="Times New Roman"/>
                <w:sz w:val="20"/>
              </w:rPr>
              <w:t>Eckermann</w:t>
            </w:r>
          </w:p>
        </w:tc>
        <w:tc>
          <w:tcPr>
            <w:tcW w:type="dxa" w:w="2268"/>
          </w:tcPr>
          <w:p>
            <w:r>
              <w:rPr>
                <w:rFonts w:ascii="Times New Roman" w:hAnsi="Times New Roman"/>
                <w:sz w:val="20"/>
              </w:rPr>
              <w:t>Ja</w:t>
            </w:r>
          </w:p>
        </w:tc>
      </w:tr>
      <w:tr>
        <w:tc>
          <w:tcPr>
            <w:tcW w:type="dxa" w:w="2268"/>
          </w:tcPr>
          <w:p>
            <w:r>
              <w:rPr>
                <w:rFonts w:ascii="Times New Roman" w:hAnsi="Times New Roman"/>
                <w:sz w:val="20"/>
              </w:rPr>
              <w:t>5</w:t>
            </w:r>
          </w:p>
        </w:tc>
        <w:tc>
          <w:tcPr>
            <w:tcW w:type="dxa" w:w="2268"/>
          </w:tcPr>
          <w:p>
            <w:r>
              <w:rPr>
                <w:rFonts w:ascii="Times New Roman" w:hAnsi="Times New Roman"/>
                <w:sz w:val="20"/>
              </w:rPr>
              <w:t>Rechtsanwalt (5 Jahre)</w:t>
            </w:r>
          </w:p>
        </w:tc>
        <w:tc>
          <w:tcPr>
            <w:tcW w:type="dxa" w:w="2268"/>
          </w:tcPr>
          <w:p>
            <w:r>
              <w:rPr>
                <w:rFonts w:ascii="Times New Roman" w:hAnsi="Times New Roman"/>
                <w:sz w:val="20"/>
              </w:rPr>
              <w:t>Friedrich &amp; Brandt</w:t>
            </w:r>
          </w:p>
        </w:tc>
        <w:tc>
          <w:tcPr>
            <w:tcW w:type="dxa" w:w="2268"/>
          </w:tcPr>
          <w:p>
            <w:r>
              <w:rPr>
                <w:rFonts w:ascii="Times New Roman" w:hAnsi="Times New Roman"/>
                <w:sz w:val="20"/>
              </w:rPr>
              <w:t>Ja</w:t>
            </w:r>
          </w:p>
        </w:tc>
      </w:tr>
      <w:tr>
        <w:tc>
          <w:tcPr>
            <w:tcW w:type="dxa" w:w="2268"/>
          </w:tcPr>
          <w:p>
            <w:r>
              <w:rPr>
                <w:rFonts w:ascii="Times New Roman" w:hAnsi="Times New Roman"/>
                <w:sz w:val="20"/>
              </w:rPr>
              <w:t>6</w:t>
            </w:r>
          </w:p>
        </w:tc>
        <w:tc>
          <w:tcPr>
            <w:tcW w:type="dxa" w:w="2268"/>
          </w:tcPr>
          <w:p>
            <w:r>
              <w:rPr>
                <w:rFonts w:ascii="Times New Roman" w:hAnsi="Times New Roman"/>
                <w:sz w:val="20"/>
              </w:rPr>
              <w:t>ReFa (12 Jahre)</w:t>
            </w:r>
          </w:p>
        </w:tc>
        <w:tc>
          <w:tcPr>
            <w:tcW w:type="dxa" w:w="2268"/>
          </w:tcPr>
          <w:p>
            <w:r>
              <w:rPr>
                <w:rFonts w:ascii="Times New Roman" w:hAnsi="Times New Roman"/>
                <w:sz w:val="20"/>
              </w:rPr>
              <w:t>Friedrich &amp; Brandt</w:t>
            </w:r>
          </w:p>
        </w:tc>
        <w:tc>
          <w:tcPr>
            <w:tcW w:type="dxa" w:w="2268"/>
          </w:tcPr>
          <w:p>
            <w:r>
              <w:rPr>
                <w:rFonts w:ascii="Times New Roman" w:hAnsi="Times New Roman"/>
                <w:sz w:val="20"/>
              </w:rPr>
              <w:t>Ja</w:t>
            </w:r>
          </w:p>
        </w:tc>
      </w:tr>
      <w:tr>
        <w:tc>
          <w:tcPr>
            <w:tcW w:type="dxa" w:w="2268"/>
          </w:tcPr>
          <w:p>
            <w:r>
              <w:rPr>
                <w:rFonts w:ascii="Times New Roman" w:hAnsi="Times New Roman"/>
                <w:sz w:val="20"/>
              </w:rPr>
              <w:t>7</w:t>
            </w:r>
          </w:p>
        </w:tc>
        <w:tc>
          <w:tcPr>
            <w:tcW w:type="dxa" w:w="2268"/>
          </w:tcPr>
          <w:p>
            <w:r>
              <w:rPr>
                <w:rFonts w:ascii="Times New Roman" w:hAnsi="Times New Roman"/>
                <w:sz w:val="20"/>
              </w:rPr>
              <w:t>ReFa (6 Jahre)</w:t>
            </w:r>
          </w:p>
        </w:tc>
        <w:tc>
          <w:tcPr>
            <w:tcW w:type="dxa" w:w="2268"/>
          </w:tcPr>
          <w:p>
            <w:r>
              <w:rPr>
                <w:rFonts w:ascii="Times New Roman" w:hAnsi="Times New Roman"/>
                <w:sz w:val="20"/>
              </w:rPr>
              <w:t>Friedrich &amp; Brandt</w:t>
            </w:r>
          </w:p>
        </w:tc>
        <w:tc>
          <w:tcPr>
            <w:tcW w:type="dxa" w:w="2268"/>
          </w:tcPr>
          <w:p>
            <w:r>
              <w:rPr>
                <w:rFonts w:ascii="Times New Roman" w:hAnsi="Times New Roman"/>
                <w:sz w:val="20"/>
              </w:rPr>
              <w:t>Ja</w:t>
            </w:r>
          </w:p>
        </w:tc>
      </w:tr>
      <w:tr>
        <w:tc>
          <w:tcPr>
            <w:tcW w:type="dxa" w:w="2268"/>
          </w:tcPr>
          <w:p>
            <w:r>
              <w:rPr>
                <w:rFonts w:ascii="Times New Roman" w:hAnsi="Times New Roman"/>
                <w:sz w:val="20"/>
              </w:rPr>
              <w:t>8</w:t>
            </w:r>
          </w:p>
        </w:tc>
        <w:tc>
          <w:tcPr>
            <w:tcW w:type="dxa" w:w="2268"/>
          </w:tcPr>
          <w:p>
            <w:r>
              <w:rPr>
                <w:rFonts w:ascii="Times New Roman" w:hAnsi="Times New Roman"/>
                <w:sz w:val="20"/>
              </w:rPr>
              <w:t>ReFa (3 Jahre)</w:t>
            </w:r>
          </w:p>
        </w:tc>
        <w:tc>
          <w:tcPr>
            <w:tcW w:type="dxa" w:w="2268"/>
          </w:tcPr>
          <w:p>
            <w:r>
              <w:rPr>
                <w:rFonts w:ascii="Times New Roman" w:hAnsi="Times New Roman"/>
                <w:sz w:val="20"/>
              </w:rPr>
              <w:t>Friedrich &amp; Brandt</w:t>
            </w:r>
          </w:p>
        </w:tc>
        <w:tc>
          <w:tcPr>
            <w:tcW w:type="dxa" w:w="2268"/>
          </w:tcPr>
          <w:p>
            <w:r>
              <w:rPr>
                <w:rFonts w:ascii="Times New Roman" w:hAnsi="Times New Roman"/>
                <w:sz w:val="20"/>
              </w:rPr>
              <w:t>Ja</w:t>
            </w:r>
          </w:p>
        </w:tc>
      </w:tr>
      <w:tr>
        <w:tc>
          <w:tcPr>
            <w:tcW w:type="dxa" w:w="2268"/>
          </w:tcPr>
          <w:p>
            <w:r>
              <w:rPr>
                <w:rFonts w:ascii="Times New Roman" w:hAnsi="Times New Roman"/>
                <w:sz w:val="20"/>
              </w:rPr>
              <w:t>9</w:t>
            </w:r>
          </w:p>
        </w:tc>
        <w:tc>
          <w:tcPr>
            <w:tcW w:type="dxa" w:w="2268"/>
          </w:tcPr>
          <w:p>
            <w:r>
              <w:rPr>
                <w:rFonts w:ascii="Times New Roman" w:hAnsi="Times New Roman"/>
                <w:sz w:val="20"/>
              </w:rPr>
              <w:t>Büroassistentin (10 Jahre)</w:t>
            </w:r>
          </w:p>
        </w:tc>
        <w:tc>
          <w:tcPr>
            <w:tcW w:type="dxa" w:w="2268"/>
          </w:tcPr>
          <w:p>
            <w:r>
              <w:rPr>
                <w:rFonts w:ascii="Times New Roman" w:hAnsi="Times New Roman"/>
                <w:sz w:val="20"/>
              </w:rPr>
              <w:t>Friedrich &amp; Brandt</w:t>
            </w:r>
          </w:p>
        </w:tc>
        <w:tc>
          <w:tcPr>
            <w:tcW w:type="dxa" w:w="2268"/>
          </w:tcPr>
          <w:p>
            <w:r>
              <w:rPr>
                <w:rFonts w:ascii="Times New Roman" w:hAnsi="Times New Roman"/>
                <w:sz w:val="20"/>
              </w:rPr>
              <w:t>Ja</w:t>
            </w:r>
          </w:p>
        </w:tc>
      </w:tr>
      <w:tr>
        <w:tc>
          <w:tcPr>
            <w:tcW w:type="dxa" w:w="2268"/>
          </w:tcPr>
          <w:p>
            <w:r>
              <w:rPr>
                <w:rFonts w:ascii="Times New Roman" w:hAnsi="Times New Roman"/>
                <w:sz w:val="20"/>
              </w:rPr>
              <w:t>10</w:t>
            </w:r>
          </w:p>
        </w:tc>
        <w:tc>
          <w:tcPr>
            <w:tcW w:type="dxa" w:w="2268"/>
          </w:tcPr>
          <w:p>
            <w:r>
              <w:rPr>
                <w:rFonts w:ascii="Times New Roman" w:hAnsi="Times New Roman"/>
                <w:sz w:val="20"/>
              </w:rPr>
              <w:t>ReFa (9 Jahre)</w:t>
            </w:r>
          </w:p>
        </w:tc>
        <w:tc>
          <w:tcPr>
            <w:tcW w:type="dxa" w:w="2268"/>
          </w:tcPr>
          <w:p>
            <w:r>
              <w:rPr>
                <w:rFonts w:ascii="Times New Roman" w:hAnsi="Times New Roman"/>
                <w:sz w:val="20"/>
              </w:rPr>
              <w:t>Sandhof GbR</w:t>
            </w:r>
          </w:p>
        </w:tc>
        <w:tc>
          <w:tcPr>
            <w:tcW w:type="dxa" w:w="2268"/>
          </w:tcPr>
          <w:p>
            <w:r>
              <w:rPr>
                <w:rFonts w:ascii="Times New Roman" w:hAnsi="Times New Roman"/>
                <w:sz w:val="20"/>
              </w:rPr>
              <w:t>Ja</w:t>
            </w:r>
          </w:p>
        </w:tc>
      </w:tr>
      <w:tr>
        <w:tc>
          <w:tcPr>
            <w:tcW w:type="dxa" w:w="2268"/>
          </w:tcPr>
          <w:p>
            <w:r>
              <w:rPr>
                <w:rFonts w:ascii="Times New Roman" w:hAnsi="Times New Roman"/>
                <w:sz w:val="20"/>
              </w:rPr>
              <w:t>11</w:t>
            </w:r>
          </w:p>
        </w:tc>
        <w:tc>
          <w:tcPr>
            <w:tcW w:type="dxa" w:w="2268"/>
          </w:tcPr>
          <w:p>
            <w:r>
              <w:rPr>
                <w:rFonts w:ascii="Times New Roman" w:hAnsi="Times New Roman"/>
                <w:sz w:val="20"/>
              </w:rPr>
              <w:t>ReFa (4 Jahre)</w:t>
            </w:r>
          </w:p>
        </w:tc>
        <w:tc>
          <w:tcPr>
            <w:tcW w:type="dxa" w:w="2268"/>
          </w:tcPr>
          <w:p>
            <w:r>
              <w:rPr>
                <w:rFonts w:ascii="Times New Roman" w:hAnsi="Times New Roman"/>
                <w:sz w:val="20"/>
              </w:rPr>
              <w:t>Sandhof GbR</w:t>
            </w:r>
          </w:p>
        </w:tc>
        <w:tc>
          <w:tcPr>
            <w:tcW w:type="dxa" w:w="2268"/>
          </w:tcPr>
          <w:p>
            <w:r>
              <w:rPr>
                <w:rFonts w:ascii="Times New Roman" w:hAnsi="Times New Roman"/>
                <w:sz w:val="20"/>
              </w:rPr>
              <w:t>Ja</w:t>
            </w:r>
          </w:p>
        </w:tc>
      </w:tr>
      <w:tr>
        <w:tc>
          <w:tcPr>
            <w:tcW w:type="dxa" w:w="2268"/>
          </w:tcPr>
          <w:p>
            <w:r>
              <w:rPr>
                <w:rFonts w:ascii="Times New Roman" w:hAnsi="Times New Roman"/>
                <w:sz w:val="20"/>
              </w:rPr>
              <w:t>12</w:t>
            </w:r>
          </w:p>
        </w:tc>
        <w:tc>
          <w:tcPr>
            <w:tcW w:type="dxa" w:w="2268"/>
          </w:tcPr>
          <w:p>
            <w:r>
              <w:rPr>
                <w:rFonts w:ascii="Times New Roman" w:hAnsi="Times New Roman"/>
                <w:sz w:val="20"/>
              </w:rPr>
              <w:t>Steuerfachang. (7 Jahre)</w:t>
            </w:r>
          </w:p>
        </w:tc>
        <w:tc>
          <w:tcPr>
            <w:tcW w:type="dxa" w:w="2268"/>
          </w:tcPr>
          <w:p>
            <w:r>
              <w:rPr>
                <w:rFonts w:ascii="Times New Roman" w:hAnsi="Times New Roman"/>
                <w:sz w:val="20"/>
              </w:rPr>
              <w:t>Sandhof GbR</w:t>
            </w:r>
          </w:p>
        </w:tc>
        <w:tc>
          <w:tcPr>
            <w:tcW w:type="dxa" w:w="2268"/>
          </w:tcPr>
          <w:p>
            <w:r>
              <w:rPr>
                <w:rFonts w:ascii="Times New Roman" w:hAnsi="Times New Roman"/>
                <w:sz w:val="20"/>
              </w:rPr>
              <w:t>Ja</w:t>
            </w:r>
          </w:p>
        </w:tc>
      </w:tr>
    </w:tbl>
    <w:p/>
    <w:p>
      <w:pPr>
        <w:pStyle w:val="Heading2"/>
      </w:pPr>
      <w:r>
        <w:rPr>
          <w:rFonts w:ascii="Times New Roman" w:hAnsi="Times New Roman"/>
        </w:rPr>
        <w:t>Quellen</w:t>
      </w:r>
    </w:p>
    <w:p>
      <w:pPr>
        <w:pStyle w:val="ListBullet"/>
      </w:pPr>
      <w:r>
        <w:t>BGB § 613a: dejure.org/gesetze/BGB/613a</w:t>
      </w:r>
    </w:p>
    <w:p>
      <w:pPr>
        <w:pStyle w:val="ListBullet"/>
      </w:pPr>
      <w:r>
        <w:t>BetrVG §§ 111, 112: dejure.org/gesetze/BetrVG</w:t>
      </w:r>
    </w:p>
    <w:p>
      <w:pPr>
        <w:pStyle w:val="ListBullet"/>
      </w:pPr>
      <w:r>
        <w:t>BAG, Urt. v. 22.05.1997, 8 AZR 101/96 (Betriebsübergang Kanzlei): openjur.de</w:t>
      </w:r>
    </w:p>
    <w:p>
      <w:pPr>
        <w:pStyle w:val="ListBullet"/>
      </w:pPr>
      <w:r>
        <w:t>BAG, Urt. v. 16.05.2007, 8 AZR 693/06 (Betriebsteilübergang):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