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Mandantenüberleitung — BRAO § 43a, DSGVO Art. 6, RAK-Genehmigung</w:t>
      </w:r>
    </w:p>
    <w:p>
      <w:pPr>
        <w:jc w:val="left"/>
      </w:pPr>
      <w:r>
        <w:rPr>
          <w:b/>
        </w:rPr>
        <w:t>Aktenzeichen:</w:t>
      </w:r>
      <w:r>
        <w:t xml:space="preserve"> KBH-2026-001-EFS</w:t>
      </w:r>
    </w:p>
    <w:p>
      <w:pPr>
        <w:jc w:val="left"/>
      </w:pPr>
      <w:r>
        <w:rPr>
          <w:b/>
        </w:rPr>
        <w:t>Stand:</w:t>
      </w:r>
      <w:r>
        <w:t xml:space="preserve"> 05. April 2026</w:t>
      </w:r>
    </w:p>
    <w:p>
      <w:pPr>
        <w:jc w:val="left"/>
      </w:pPr>
      <w:r>
        <w:rPr>
          <w:b/>
        </w:rPr>
        <w:t>Bearbeiter:</w:t>
      </w:r>
      <w:r>
        <w:t xml:space="preserve"> RA Monika Hellwig</w:t>
      </w:r>
    </w:p>
    <w:p/>
    <w:p>
      <w:pPr>
        <w:pStyle w:val="Heading2"/>
      </w:pPr>
      <w:r>
        <w:rPr>
          <w:rFonts w:ascii="Times New Roman" w:hAnsi="Times New Roman"/>
        </w:rPr>
        <w:t>1. Problemstellung</w:t>
      </w:r>
    </w:p>
    <w:p>
      <w:pPr>
        <w:jc w:val="left"/>
      </w:pPr>
      <w:r>
        <w:t>Die Überleitung von Mandaten aus drei Vorgängerkanzleien auf die EFS-GmbH berührt mehrere Rechtsbereiche gleichzeitig:</w:t>
      </w:r>
    </w:p>
    <w:p>
      <w:pPr>
        <w:pStyle w:val="ListNumber"/>
      </w:pPr>
      <w:r>
        <w:rPr>
          <w:b/>
        </w:rPr>
        <w:t>Berufsrecht (BRAO/BORA):</w:t>
      </w:r>
      <w:r>
        <w:t xml:space="preserve"> Verschwiegenheitspflicht, Interessenkollision, Kanzleiwechsel-Regeln</w:t>
      </w:r>
    </w:p>
    <w:p>
      <w:pPr>
        <w:pStyle w:val="ListNumber"/>
      </w:pPr>
      <w:r>
        <w:rPr>
          <w:b/>
        </w:rPr>
        <w:t>Datenschutzrecht (DSGVO/BDSG):</w:t>
      </w:r>
      <w:r>
        <w:t xml:space="preserve"> Verarbeitung personenbezogener Mandantendaten</w:t>
      </w:r>
    </w:p>
    <w:p>
      <w:pPr>
        <w:pStyle w:val="ListNumber"/>
      </w:pPr>
      <w:r>
        <w:rPr>
          <w:b/>
        </w:rPr>
        <w:t>Vertragsrecht (BGB):</w:t>
      </w:r>
      <w:r>
        <w:t xml:space="preserve"> Novation des Anwaltsvertrags, ggf. Zustimmungsbedürftigkeit</w:t>
      </w:r>
    </w:p>
    <w:p>
      <w:pPr>
        <w:pStyle w:val="ListNumber"/>
      </w:pPr>
      <w:r>
        <w:rPr>
          <w:b/>
        </w:rPr>
        <w:t>RAK Aachen:</w:t>
      </w:r>
      <w:r>
        <w:t xml:space="preserve"> Genehmigungsvorbehalt für gemeinsamen Auftritt</w:t>
      </w:r>
    </w:p>
    <w:p/>
    <w:p>
      <w:pPr>
        <w:pStyle w:val="Heading2"/>
      </w:pPr>
      <w:r>
        <w:rPr>
          <w:rFonts w:ascii="Times New Roman" w:hAnsi="Times New Roman"/>
        </w:rPr>
        <w:t>2. Berufsrechtliche Anforderungen (BRAO § 43a, BORA)</w:t>
      </w:r>
    </w:p>
    <w:p>
      <w:pPr>
        <w:pStyle w:val="Heading3"/>
      </w:pPr>
      <w:r>
        <w:rPr>
          <w:rFonts w:ascii="Times New Roman" w:hAnsi="Times New Roman"/>
        </w:rPr>
        <w:t>Verschwiegenheitspflicht</w:t>
      </w:r>
    </w:p>
    <w:p>
      <w:pPr>
        <w:jc w:val="left"/>
      </w:pPr>
      <w:r>
        <w:t>§ 43a Abs. 2 BRAO verpflichtet den Rechtsanwalt zur Verschwiegenheit über alle ihm in Ausübung seines Berufes bekannt gewordenen Tatsachen. Diese Pflicht besteht auch gegenüber der neuen Gesellschaft, solange der Mandant keine Einwilligung erteilt hat.</w:t>
      </w:r>
    </w:p>
    <w:p>
      <w:pPr>
        <w:jc w:val="left"/>
      </w:pPr>
      <w:r>
        <w:t xml:space="preserve">Jeder Gründungspartner muss daher vor der Mandatsüberleitung eine </w:t>
      </w:r>
      <w:r>
        <w:rPr>
          <w:b/>
        </w:rPr>
        <w:t>ausdrückliche Einwilligung</w:t>
      </w:r>
      <w:r>
        <w:t xml:space="preserve"> des Mandanten einholen. Eine stillschweigende Einwilligung genügt nicht.</w:t>
      </w:r>
    </w:p>
    <w:p>
      <w:pPr>
        <w:pStyle w:val="Heading3"/>
      </w:pPr>
      <w:r>
        <w:rPr>
          <w:rFonts w:ascii="Times New Roman" w:hAnsi="Times New Roman"/>
        </w:rPr>
        <w:t>Interessenkollision (§ 43a Abs. 4 BRAO, § 3 BORA)</w:t>
      </w:r>
    </w:p>
    <w:p>
      <w:pPr>
        <w:jc w:val="left"/>
      </w:pPr>
      <w:r>
        <w:t>Bei der Zusammenführung von drei Vorgängerkanzleien kann es vorkommen, dass die EFS-GmbH auf gegnerischen Seiten stehende Mandate aus verschiedenen Vorgängersozietäten übernimmt. Dr. Friedrich führt z.B. ein Mandat für die Gewerkschaft ver.di (Betriebsrat Logistik), während Sandhof steuerlich für den Arbeitgeber (Logistik AG) tätig war. Hier liegt ein Fall des § 43a Abs. 4 BRAO vor.</w:t>
      </w:r>
    </w:p>
    <w:p>
      <w:pPr>
        <w:jc w:val="left"/>
      </w:pPr>
      <w:r>
        <w:rPr>
          <w:b/>
        </w:rPr>
        <w:t>Maßnahme:</w:t>
      </w:r>
      <w:r>
        <w:t xml:space="preserve"> Umfassender Abgleich aller Vorgängerakten auf Interessenkollisionen vor dem Stichtag 01. Mai 2026. Kollisionsmatrix wurde erstellt (Anlage KK-2026-001).</w:t>
      </w:r>
    </w:p>
    <w:p>
      <w:pPr>
        <w:pStyle w:val="Heading3"/>
      </w:pPr>
      <w:r>
        <w:rPr>
          <w:rFonts w:ascii="Times New Roman" w:hAnsi="Times New Roman"/>
        </w:rPr>
        <w:t>BORA §§ 15, 16 (Kanzleiwechsel)</w:t>
      </w:r>
    </w:p>
    <w:p>
      <w:pPr>
        <w:jc w:val="left"/>
      </w:pPr>
      <w:r>
        <w:t>Beim Kanzleiwechsel des Anwalts sind Mandanten über den Wechsel zu informieren. Für den Fall, dass der bisherige Anwalt die Einzelkanzlei aufgibt (Eckermann), ist sicherzustellen, dass Mandanten rechtzeitig von der Neustruktur unterrichtet werden.</w:t>
      </w:r>
    </w:p>
    <w:p/>
    <w:p>
      <w:pPr>
        <w:pStyle w:val="Heading2"/>
      </w:pPr>
      <w:r>
        <w:rPr>
          <w:rFonts w:ascii="Times New Roman" w:hAnsi="Times New Roman"/>
        </w:rPr>
        <w:t>3. Datenschutzrechtliche Anforderungen (DSGVO)</w:t>
      </w:r>
    </w:p>
    <w:p>
      <w:pPr>
        <w:pStyle w:val="Heading3"/>
      </w:pPr>
      <w:r>
        <w:rPr>
          <w:rFonts w:ascii="Times New Roman" w:hAnsi="Times New Roman"/>
        </w:rPr>
        <w:t>Rechtsgrundlage Datenverarbeitung (Art. 6 DSGVO)</w:t>
      </w:r>
    </w:p>
    <w:p>
      <w:pPr>
        <w:jc w:val="left"/>
      </w:pPr>
      <w:r>
        <w:t>Die Übertragung der Mandatsakte auf die EFS-GmbH stellt eine Verarbeitung personenbezogener Daten dar. Als Rechtsgrundlage kommt in Betracht:</w:t>
      </w:r>
    </w:p>
    <w:p>
      <w:pPr>
        <w:pStyle w:val="ListBullet"/>
      </w:pPr>
      <w:r>
        <w:rPr>
          <w:b/>
        </w:rPr>
        <w:t>Art. 6 Abs. 1 lit. a DSGVO:</w:t>
      </w:r>
      <w:r>
        <w:t xml:space="preserve"> Einwilligung des Mandanten — bevorzugte Grundlage</w:t>
      </w:r>
    </w:p>
    <w:p>
      <w:pPr>
        <w:pStyle w:val="ListBullet"/>
      </w:pPr>
      <w:r>
        <w:rPr>
          <w:b/>
        </w:rPr>
        <w:t>Art. 6 Abs. 1 lit. b DSGVO:</w:t>
      </w:r>
      <w:r>
        <w:t xml:space="preserve"> Erforderlichkeit zur Vertragserfüllung — nur, wenn der Mandant mit der EFS-GmbH einen neuen Anwaltsvertrag schließt</w:t>
      </w:r>
    </w:p>
    <w:p>
      <w:pPr>
        <w:pStyle w:val="ListBullet"/>
      </w:pPr>
      <w:r>
        <w:rPr>
          <w:b/>
        </w:rPr>
        <w:t>Art. 6 Abs. 1 lit. c DSGVO:</w:t>
      </w:r>
      <w:r>
        <w:t xml:space="preserve"> Rechtliche Verpflichtung (z.B. laufende gerichtliche Verfahren) — als Begleitgrundlage</w:t>
      </w:r>
    </w:p>
    <w:p>
      <w:pPr>
        <w:jc w:val="left"/>
      </w:pPr>
      <w:r>
        <w:rPr>
          <w:b/>
        </w:rPr>
        <w:t>Empfehlung:</w:t>
      </w:r>
      <w:r>
        <w:t xml:space="preserve"> Kombination Art. 6 Abs. 1 lit. a und b; in jedem Fall ausdrückliche Einwilligung einholen.</w:t>
      </w:r>
    </w:p>
    <w:p>
      <w:pPr>
        <w:pStyle w:val="Heading3"/>
      </w:pPr>
      <w:r>
        <w:rPr>
          <w:rFonts w:ascii="Times New Roman" w:hAnsi="Times New Roman"/>
        </w:rPr>
        <w:t>Datenschutz-Folgenabschätzung (Art. 35 DSGVO)</w:t>
      </w:r>
    </w:p>
    <w:p>
      <w:pPr>
        <w:jc w:val="left"/>
      </w:pPr>
      <w:r>
        <w:t>Eine DSFA ist durchzuführen, da die Übertragung umfangreicher Mandantenakten (mit medizinischen Daten bei Sozialrechtsmandaten nach Art. 9 DSGVO) besonders sensible Daten betrifft.</w:t>
      </w:r>
    </w:p>
    <w:p>
      <w:pPr>
        <w:jc w:val="left"/>
      </w:pPr>
      <w:r>
        <w:rPr>
          <w:b/>
        </w:rPr>
        <w:t>Status:</w:t>
      </w:r>
      <w:r>
        <w:t xml:space="preserve"> DSFA in Bearbeitung (federführend: IT-Beauftragter Friedrich, externer DSB Firma SecureData GmbH Aachen).</w:t>
      </w:r>
    </w:p>
    <w:p>
      <w:pPr>
        <w:pStyle w:val="Heading3"/>
      </w:pPr>
      <w:r>
        <w:rPr>
          <w:rFonts w:ascii="Times New Roman" w:hAnsi="Times New Roman"/>
        </w:rPr>
        <w:t>Verzeichnis der Verarbeitungstätigkeiten (Art. 30 DSGVO)</w:t>
      </w:r>
    </w:p>
    <w:p>
      <w:pPr>
        <w:jc w:val="left"/>
      </w:pPr>
      <w:r>
        <w:t>Die EFS-GmbH muss ab Tag 1 ein Verzeichnis gemäß Art. 30 DSGVO führen. Vorlage in Vorbereitung.</w:t>
      </w:r>
    </w:p>
    <w:p/>
    <w:p>
      <w:pPr>
        <w:pStyle w:val="Heading2"/>
      </w:pPr>
      <w:r>
        <w:rPr>
          <w:rFonts w:ascii="Times New Roman" w:hAnsi="Times New Roman"/>
        </w:rPr>
        <w:t>4. Vorgehen — Mandantenrundschreiben</w:t>
      </w:r>
    </w:p>
    <w:p>
      <w:pPr>
        <w:pStyle w:val="Heading3"/>
      </w:pPr>
      <w:r>
        <w:rPr>
          <w:rFonts w:ascii="Times New Roman" w:hAnsi="Times New Roman"/>
        </w:rPr>
        <w:t>Entwurf Mandanteninformation (verkürzt)</w:t>
      </w:r>
    </w:p>
    <w:p>
      <w:pPr>
        <w:ind w:left="567"/>
      </w:pPr>
      <w:r>
        <w:rPr>
          <w:i/>
        </w:rPr>
        <w:t>Sehr geehrte Damen und Herren,</w:t>
      </w:r>
    </w:p>
    <w:p>
      <w:pPr>
        <w:ind w:left="567"/>
      </w:pPr>
    </w:p>
    <w:p>
      <w:pPr>
        <w:ind w:left="567"/>
      </w:pPr>
      <w:r>
        <w:rPr>
          <w:i/>
        </w:rPr>
        <w:t xml:space="preserve">wir freuen uns, Ihnen mitteilen zu können, dass wir zum 01. Mai 2026 die Kanzlei </w:t>
      </w:r>
      <w:r>
        <w:rPr>
          <w:b/>
          <w:i/>
        </w:rPr>
        <w:t>Eckermann Friedrich Sandhof Rechtsanwaltsgesellschaft mbH (EFS Recht)</w:t>
      </w:r>
      <w:r>
        <w:rPr>
          <w:i/>
        </w:rPr>
        <w:t xml:space="preserve"> in Aachen gründen. Ihr bisheriges Mandat soll — mit Ihrer ausdrücklichen Zustimmung — auf die neue Gesellschaft übergeleitet werden. Ihre betreuende Anwältin/Ihr betreuender Anwalt bleibt dieselbe Person. Alle gesetzlichen Pflichten (Verschwiegenheit, Interessenwahrungspflicht) bleiben unverändert bestehen.</w:t>
      </w:r>
    </w:p>
    <w:p>
      <w:pPr>
        <w:ind w:left="567"/>
      </w:pPr>
    </w:p>
    <w:p>
      <w:pPr>
        <w:ind w:left="567"/>
      </w:pPr>
      <w:r>
        <w:rPr>
          <w:i/>
        </w:rPr>
        <w:t>Bitte unterzeichnen Sie beiliegendes Einwilligungsformular und senden Sie es bis zum 15. April 2026 zurück.</w:t>
      </w:r>
    </w:p>
    <w:p>
      <w:pPr>
        <w:jc w:val="left"/>
      </w:pPr>
      <w:r>
        <w:t>Das Einwilligungsformular enthält eine DSGVO-konforme Datenschutzerklärung der EFS-GmbH (Art. 13/14 DSGVO).</w:t>
      </w:r>
    </w:p>
    <w:p/>
    <w:p>
      <w:pPr>
        <w:pStyle w:val="Heading2"/>
      </w:pPr>
      <w:r>
        <w:rPr>
          <w:rFonts w:ascii="Times New Roman" w:hAnsi="Times New Roman"/>
        </w:rPr>
        <w:t>5. RAK Aachen — Genehmigung</w:t>
      </w:r>
    </w:p>
    <w:p>
      <w:pPr>
        <w:jc w:val="left"/>
      </w:pPr>
      <w:r>
        <w:t>Die Rechtsanwaltskammer Aachen ist als Zulassungsbehörde gemäß § 59h Abs. 2 BRAO zuständig für die Zulassung der EFS-GmbH. Darüber hinaus wurde die RAK um eine informelle Stellungnahme zur Mandantenüberleitungs-Prozedur gebeten. Antwort der RAK vom 28.03.2026 (E-Mail, Anlage RAK-001): "Die gewählte Vorgehensweise entspricht den Anforderungen des Berufsrechts, sofern die Einwilligung der Mandanten einzeln und schriftlich eingeholt wird."</w:t>
      </w:r>
    </w:p>
    <w:p/>
    <w:p>
      <w:pPr>
        <w:pStyle w:val="Heading2"/>
      </w:pPr>
      <w:r>
        <w:rPr>
          <w:rFonts w:ascii="Times New Roman" w:hAnsi="Times New Roman"/>
        </w:rPr>
        <w:t>6. Aktenvernichtung bei Nichtübernahme</w:t>
      </w:r>
    </w:p>
    <w:p>
      <w:pPr>
        <w:jc w:val="left"/>
      </w:pPr>
      <w:r>
        <w:t>Mandanten, die ihre Einwilligung verweigern, werden über ihre Rechte auf Akteneinsicht informiert. Die Akten verbleiben unter treuhänderischer Verwahrung bis zur gesetzlichen Aufbewahrungsfrist (10 Jahre nach Mandatsende, §§ 195 ff. BGB). Danach sichere Vernichtung nach DIN 66399.</w:t>
      </w:r>
    </w:p>
    <w:p/>
    <w:p>
      <w:pPr>
        <w:pStyle w:val="Heading2"/>
      </w:pPr>
      <w:r>
        <w:rPr>
          <w:rFonts w:ascii="Times New Roman" w:hAnsi="Times New Roman"/>
        </w:rPr>
        <w:t>Quellen</w:t>
      </w:r>
    </w:p>
    <w:p>
      <w:pPr>
        <w:pStyle w:val="ListBullet"/>
      </w:pPr>
      <w:r>
        <w:t>BRAO § 43a (Grundpflichten): dejure.org/gesetze/BRAO/43a</w:t>
      </w:r>
    </w:p>
    <w:p>
      <w:pPr>
        <w:pStyle w:val="ListBullet"/>
      </w:pPr>
      <w:r>
        <w:t>BORA §§ 15, 16 (Kanzleiwechsel): dejure.org/gesetze/BORA</w:t>
      </w:r>
    </w:p>
    <w:p>
      <w:pPr>
        <w:pStyle w:val="ListBullet"/>
      </w:pPr>
      <w:r>
        <w:t>DSGVO Art. 6 (Rechtmäßigkeit): dejure.org/gesetze/DSGVO/6</w:t>
      </w:r>
    </w:p>
    <w:p>
      <w:pPr>
        <w:pStyle w:val="ListBullet"/>
      </w:pPr>
      <w:r>
        <w:t>DSGVO Art. 35 (DSFA): dejure.org/gesetze/DSGVO/35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