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Zulassung nach § 59n BRAO — RAK Aachen</w:t>
      </w:r>
    </w:p>
    <w:p>
      <w:pPr>
        <w:jc w:val="left"/>
      </w:pPr>
      <w:r>
        <w:rPr>
          <w:b/>
        </w:rPr>
        <w:t>Aktenzeichen:</w:t>
      </w:r>
      <w:r>
        <w:t xml:space="preserve"> KBH-2026-001-EFS</w:t>
      </w:r>
    </w:p>
    <w:p>
      <w:pPr>
        <w:jc w:val="left"/>
      </w:pPr>
      <w:r>
        <w:rPr>
          <w:b/>
        </w:rPr>
        <w:t>Stand:</w:t>
      </w:r>
      <w:r>
        <w:t xml:space="preserve"> 10. April 2026</w:t>
      </w:r>
    </w:p>
    <w:p>
      <w:pPr>
        <w:jc w:val="left"/>
      </w:pPr>
      <w:r>
        <w:rPr>
          <w:b/>
        </w:rPr>
        <w:t>Bearbeiterin:</w:t>
      </w:r>
      <w:r>
        <w:t xml:space="preserve"> RA Monika Hellwig</w:t>
      </w:r>
    </w:p>
    <w:p/>
    <w:p>
      <w:pPr>
        <w:pStyle w:val="Heading2"/>
      </w:pPr>
      <w:r>
        <w:rPr>
          <w:rFonts w:ascii="Times New Roman" w:hAnsi="Times New Roman"/>
        </w:rPr>
        <w:t>1. Rechtsgrundlage</w:t>
      </w:r>
    </w:p>
    <w:p>
      <w:pPr>
        <w:jc w:val="left"/>
      </w:pPr>
      <w:r>
        <w:t>§ 59n BRAO regelt die Zulassung von Rechtsanwaltsgesellschaften durch die Rechtsanwaltskammer. Mit dem Gesetz zur Neuregelung des Berufsrechts der anwaltlichen und steuerberatenden Berufsausübungsgesellschaften sowie zur Änderung weiterer Vorschriften im Bereich der rechtsberatenden Berufe (in Kraft 01.08.2022) wurde das Zulassungsrecht für Berufsausübungsgesellschaften grundlegend reformiert.</w:t>
      </w:r>
    </w:p>
    <w:p>
      <w:pPr>
        <w:jc w:val="left"/>
      </w:pPr>
      <w:r>
        <w:t xml:space="preserve">Gemäß § 59h BRAO ist die Rechtsanwaltsgesellschaft mbH bei der für den Sitz der Gesellschaft zuständigen Rechtsanwaltskammer zuzulassen. Zuständig für die EFS-GmbH ist daher die </w:t>
      </w:r>
      <w:r>
        <w:rPr>
          <w:b/>
        </w:rPr>
        <w:t>Rechtsanwaltskammer Aachen</w:t>
      </w:r>
      <w:r>
        <w:t xml:space="preserve"> (Adalbertsteinweg 32, 52070 Aachen).</w:t>
      </w:r>
    </w:p>
    <w:p/>
    <w:p>
      <w:pPr>
        <w:pStyle w:val="Heading2"/>
      </w:pPr>
      <w:r>
        <w:rPr>
          <w:rFonts w:ascii="Times New Roman" w:hAnsi="Times New Roman"/>
        </w:rPr>
        <w:t>2. Zulassungsvoraussetzungen (§ 59h Abs. 2 BRAO)</w:t>
      </w:r>
    </w:p>
    <w:p>
      <w:pPr>
        <w:jc w:val="left"/>
      </w:pPr>
      <w:r>
        <w:t>Die Zulassung der RA-GmbH setzt voraus:</w:t>
      </w:r>
    </w:p>
    <w:p>
      <w:pPr>
        <w:pStyle w:val="ListNumber"/>
      </w:pPr>
      <w:r>
        <w:t>Die Gesellschaft ist nach deutschem oder EU-Recht gegründet.</w:t>
      </w:r>
    </w:p>
    <w:p>
      <w:pPr>
        <w:pStyle w:val="ListNumber"/>
      </w:pPr>
      <w:r>
        <w:t>Sitz oder Niederlassung im Bezirk der RAK Aachen.</w:t>
      </w:r>
    </w:p>
    <w:p>
      <w:pPr>
        <w:pStyle w:val="ListNumber"/>
      </w:pPr>
      <w:r>
        <w:t>Gegenstand der Gesellschaft ist ausschließlich die Berufsausübung als Rechtsanwalt.</w:t>
      </w:r>
    </w:p>
    <w:p>
      <w:pPr>
        <w:pStyle w:val="ListNumber"/>
      </w:pPr>
      <w:r>
        <w:t>Mehrheitliche Beteiligung von Rechtsanwälten an Kapital und Stimmrechten.</w:t>
      </w:r>
    </w:p>
    <w:p>
      <w:pPr>
        <w:pStyle w:val="ListNumber"/>
      </w:pPr>
      <w:r>
        <w:t>Mindestens ein Geschäftsführer ist Rechtsanwalt und zur eigenverantwortlichen Berufsausübung berechtigt.</w:t>
      </w:r>
    </w:p>
    <w:p>
      <w:pPr>
        <w:pStyle w:val="ListNumber"/>
      </w:pPr>
      <w:r>
        <w:t>Abschluss einer Berufshaftpflichtversicherung nach § 59j BRAO.</w:t>
      </w:r>
    </w:p>
    <w:p>
      <w:pPr>
        <w:pStyle w:val="ListNumber"/>
      </w:pPr>
      <w:r>
        <w:t>Die Gesellschaft ist nicht wegen Unredlichkeit oder Unzuverlässigkeit von der Zulassung ausgeschlossen.</w:t>
      </w:r>
    </w:p>
    <w:p/>
    <w:p>
      <w:pPr>
        <w:pStyle w:val="Heading2"/>
      </w:pPr>
      <w:r>
        <w:rPr>
          <w:rFonts w:ascii="Times New Roman" w:hAnsi="Times New Roman"/>
        </w:rPr>
        <w:t>3. Einzureichende Unterlagen</w:t>
      </w:r>
    </w:p>
    <w:p>
      <w:pPr>
        <w:jc w:val="left"/>
      </w:pPr>
      <w:r>
        <w:t>Gemäß § 59h Abs. 3 BRAO und dem Merkblatt der RAK Aachen (Stand 2025) sind einzureichen: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Unterlage</w:t>
            </w:r>
          </w:p>
        </w:tc>
        <w:tc>
          <w:tcPr>
            <w:tcW w:type="dxa" w:w="3024"/>
          </w:tcPr>
          <w:p>
            <w:r>
              <w:rPr>
                <w:rFonts w:ascii="Times New Roman" w:hAnsi="Times New Roman"/>
                <w:b/>
                <w:sz w:val="20"/>
              </w:rPr>
              <w:t>Status</w:t>
            </w:r>
          </w:p>
        </w:tc>
      </w:tr>
      <w:tr>
        <w:tc>
          <w:tcPr>
            <w:tcW w:type="dxa" w:w="3024"/>
          </w:tcPr>
          <w:p>
            <w:r>
              <w:rPr>
                <w:rFonts w:ascii="Times New Roman" w:hAnsi="Times New Roman"/>
                <w:sz w:val="20"/>
              </w:rPr>
              <w:t>1</w:t>
            </w:r>
          </w:p>
        </w:tc>
        <w:tc>
          <w:tcPr>
            <w:tcW w:type="dxa" w:w="3024"/>
          </w:tcPr>
          <w:p>
            <w:r>
              <w:rPr>
                <w:rFonts w:ascii="Times New Roman" w:hAnsi="Times New Roman"/>
                <w:sz w:val="20"/>
              </w:rPr>
              <w:t>Gesellschaftsvertrag (notariell beglaubigte Abschrift)</w:t>
            </w:r>
          </w:p>
        </w:tc>
        <w:tc>
          <w:tcPr>
            <w:tcW w:type="dxa" w:w="3024"/>
          </w:tcPr>
          <w:p>
            <w:r>
              <w:rPr>
                <w:rFonts w:ascii="Times New Roman" w:hAnsi="Times New Roman"/>
                <w:sz w:val="20"/>
              </w:rPr>
              <w:t>Liegt vor (Notariat Küppers, 28.03.2026)</w:t>
            </w:r>
          </w:p>
        </w:tc>
      </w:tr>
      <w:tr>
        <w:tc>
          <w:tcPr>
            <w:tcW w:type="dxa" w:w="3024"/>
          </w:tcPr>
          <w:p>
            <w:r>
              <w:rPr>
                <w:rFonts w:ascii="Times New Roman" w:hAnsi="Times New Roman"/>
                <w:sz w:val="20"/>
              </w:rPr>
              <w:t>2</w:t>
            </w:r>
          </w:p>
        </w:tc>
        <w:tc>
          <w:tcPr>
            <w:tcW w:type="dxa" w:w="3024"/>
          </w:tcPr>
          <w:p>
            <w:r>
              <w:rPr>
                <w:rFonts w:ascii="Times New Roman" w:hAnsi="Times New Roman"/>
                <w:sz w:val="20"/>
              </w:rPr>
              <w:t>Handelsregisterauszug</w:t>
            </w:r>
          </w:p>
        </w:tc>
        <w:tc>
          <w:tcPr>
            <w:tcW w:type="dxa" w:w="3024"/>
          </w:tcPr>
          <w:p>
            <w:r>
              <w:rPr>
                <w:rFonts w:ascii="Times New Roman" w:hAnsi="Times New Roman"/>
                <w:sz w:val="20"/>
              </w:rPr>
              <w:t>Ausstehend (HR-Eintrag ca. 14.04.2026)</w:t>
            </w:r>
          </w:p>
        </w:tc>
      </w:tr>
      <w:tr>
        <w:tc>
          <w:tcPr>
            <w:tcW w:type="dxa" w:w="3024"/>
          </w:tcPr>
          <w:p>
            <w:r>
              <w:rPr>
                <w:rFonts w:ascii="Times New Roman" w:hAnsi="Times New Roman"/>
                <w:sz w:val="20"/>
              </w:rPr>
              <w:t>3</w:t>
            </w:r>
          </w:p>
        </w:tc>
        <w:tc>
          <w:tcPr>
            <w:tcW w:type="dxa" w:w="3024"/>
          </w:tcPr>
          <w:p>
            <w:r>
              <w:rPr>
                <w:rFonts w:ascii="Times New Roman" w:hAnsi="Times New Roman"/>
                <w:sz w:val="20"/>
              </w:rPr>
              <w:t>Nachweis Berufshaftpflichtversicherung (§ 59j BRAO)</w:t>
            </w:r>
          </w:p>
        </w:tc>
        <w:tc>
          <w:tcPr>
            <w:tcW w:type="dxa" w:w="3024"/>
          </w:tcPr>
          <w:p>
            <w:r>
              <w:rPr>
                <w:rFonts w:ascii="Times New Roman" w:hAnsi="Times New Roman"/>
                <w:sz w:val="20"/>
              </w:rPr>
              <w:t>Vorläufige Deckungszusage Allianz 25.03.2026</w:t>
            </w:r>
          </w:p>
        </w:tc>
      </w:tr>
      <w:tr>
        <w:tc>
          <w:tcPr>
            <w:tcW w:type="dxa" w:w="3024"/>
          </w:tcPr>
          <w:p>
            <w:r>
              <w:rPr>
                <w:rFonts w:ascii="Times New Roman" w:hAnsi="Times New Roman"/>
                <w:sz w:val="20"/>
              </w:rPr>
              <w:t>4</w:t>
            </w:r>
          </w:p>
        </w:tc>
        <w:tc>
          <w:tcPr>
            <w:tcW w:type="dxa" w:w="3024"/>
          </w:tcPr>
          <w:p>
            <w:r>
              <w:rPr>
                <w:rFonts w:ascii="Times New Roman" w:hAnsi="Times New Roman"/>
                <w:sz w:val="20"/>
              </w:rPr>
              <w:t>Liste der Gesellschafter mit Angabe der Berufsqualifikation</w:t>
            </w:r>
          </w:p>
        </w:tc>
        <w:tc>
          <w:tcPr>
            <w:tcW w:type="dxa" w:w="3024"/>
          </w:tcPr>
          <w:p>
            <w:r>
              <w:rPr>
                <w:rFonts w:ascii="Times New Roman" w:hAnsi="Times New Roman"/>
                <w:sz w:val="20"/>
              </w:rPr>
              <w:t>Eingereicht 01.04.2026</w:t>
            </w:r>
          </w:p>
        </w:tc>
      </w:tr>
      <w:tr>
        <w:tc>
          <w:tcPr>
            <w:tcW w:type="dxa" w:w="3024"/>
          </w:tcPr>
          <w:p>
            <w:r>
              <w:rPr>
                <w:rFonts w:ascii="Times New Roman" w:hAnsi="Times New Roman"/>
                <w:sz w:val="20"/>
              </w:rPr>
              <w:t>5</w:t>
            </w:r>
          </w:p>
        </w:tc>
        <w:tc>
          <w:tcPr>
            <w:tcW w:type="dxa" w:w="3024"/>
          </w:tcPr>
          <w:p>
            <w:r>
              <w:rPr>
                <w:rFonts w:ascii="Times New Roman" w:hAnsi="Times New Roman"/>
                <w:sz w:val="20"/>
              </w:rPr>
              <w:t>Nachweis RA-Zulassung aller Geschäftsführer</w:t>
            </w:r>
          </w:p>
        </w:tc>
        <w:tc>
          <w:tcPr>
            <w:tcW w:type="dxa" w:w="3024"/>
          </w:tcPr>
          <w:p>
            <w:r>
              <w:rPr>
                <w:rFonts w:ascii="Times New Roman" w:hAnsi="Times New Roman"/>
                <w:sz w:val="20"/>
              </w:rPr>
              <w:t>Eingereicht 01.04.2026</w:t>
            </w:r>
          </w:p>
        </w:tc>
      </w:tr>
      <w:tr>
        <w:tc>
          <w:tcPr>
            <w:tcW w:type="dxa" w:w="3024"/>
          </w:tcPr>
          <w:p>
            <w:r>
              <w:rPr>
                <w:rFonts w:ascii="Times New Roman" w:hAnsi="Times New Roman"/>
                <w:sz w:val="20"/>
              </w:rPr>
              <w:t>6</w:t>
            </w:r>
          </w:p>
        </w:tc>
        <w:tc>
          <w:tcPr>
            <w:tcW w:type="dxa" w:w="3024"/>
          </w:tcPr>
          <w:p>
            <w:r>
              <w:rPr>
                <w:rFonts w:ascii="Times New Roman" w:hAnsi="Times New Roman"/>
                <w:sz w:val="20"/>
              </w:rPr>
              <w:t>Erklärung über Berufsausschlüsse (§ 7 BRAO)</w:t>
            </w:r>
          </w:p>
        </w:tc>
        <w:tc>
          <w:tcPr>
            <w:tcW w:type="dxa" w:w="3024"/>
          </w:tcPr>
          <w:p>
            <w:r>
              <w:rPr>
                <w:rFonts w:ascii="Times New Roman" w:hAnsi="Times New Roman"/>
                <w:sz w:val="20"/>
              </w:rPr>
              <w:t>Eingereicht 01.04.2026</w:t>
            </w:r>
          </w:p>
        </w:tc>
      </w:tr>
      <w:tr>
        <w:tc>
          <w:tcPr>
            <w:tcW w:type="dxa" w:w="3024"/>
          </w:tcPr>
          <w:p>
            <w:r>
              <w:rPr>
                <w:rFonts w:ascii="Times New Roman" w:hAnsi="Times New Roman"/>
                <w:sz w:val="20"/>
              </w:rPr>
              <w:t>7</w:t>
            </w:r>
          </w:p>
        </w:tc>
        <w:tc>
          <w:tcPr>
            <w:tcW w:type="dxa" w:w="3024"/>
          </w:tcPr>
          <w:p>
            <w:r>
              <w:rPr>
                <w:rFonts w:ascii="Times New Roman" w:hAnsi="Times New Roman"/>
                <w:sz w:val="20"/>
              </w:rPr>
              <w:t>Nachweis Sitz (Mietvertrag oder Eigentumsnachweis)</w:t>
            </w:r>
          </w:p>
        </w:tc>
        <w:tc>
          <w:tcPr>
            <w:tcW w:type="dxa" w:w="3024"/>
          </w:tcPr>
          <w:p>
            <w:r>
              <w:rPr>
                <w:rFonts w:ascii="Times New Roman" w:hAnsi="Times New Roman"/>
                <w:sz w:val="20"/>
              </w:rPr>
              <w:t>Mietvertragsentwurf (Aktenstück 10)</w:t>
            </w:r>
          </w:p>
        </w:tc>
      </w:tr>
      <w:tr>
        <w:tc>
          <w:tcPr>
            <w:tcW w:type="dxa" w:w="3024"/>
          </w:tcPr>
          <w:p>
            <w:r>
              <w:rPr>
                <w:rFonts w:ascii="Times New Roman" w:hAnsi="Times New Roman"/>
                <w:sz w:val="20"/>
              </w:rPr>
              <w:t>8</w:t>
            </w:r>
          </w:p>
        </w:tc>
        <w:tc>
          <w:tcPr>
            <w:tcW w:type="dxa" w:w="3024"/>
          </w:tcPr>
          <w:p>
            <w:r>
              <w:rPr>
                <w:rFonts w:ascii="Times New Roman" w:hAnsi="Times New Roman"/>
                <w:sz w:val="20"/>
              </w:rPr>
              <w:t>Ausgefüllter Antrag auf der RAK-Vorlage</w:t>
            </w:r>
          </w:p>
        </w:tc>
        <w:tc>
          <w:tcPr>
            <w:tcW w:type="dxa" w:w="3024"/>
          </w:tcPr>
          <w:p>
            <w:r>
              <w:rPr>
                <w:rFonts w:ascii="Times New Roman" w:hAnsi="Times New Roman"/>
                <w:sz w:val="20"/>
              </w:rPr>
              <w:t>In Bearbeitung</w:t>
            </w:r>
          </w:p>
        </w:tc>
      </w:tr>
    </w:tbl>
    <w:p/>
    <w:p>
      <w:pPr>
        <w:pStyle w:val="Heading2"/>
      </w:pPr>
      <w:r>
        <w:rPr>
          <w:rFonts w:ascii="Times New Roman" w:hAnsi="Times New Roman"/>
        </w:rPr>
        <w:t>4. Ablauf des Zulassungsverfahrens</w:t>
      </w:r>
    </w:p>
    <w:p>
      <w:pPr>
        <w:jc w:val="left"/>
      </w:pPr>
      <w:r>
        <w:t>Das Zulassungsverfahren bei der RAK Aachen umfasst typischerweise folgende Schritte:</w:t>
      </w:r>
    </w:p>
    <w:p>
      <w:pPr>
        <w:pStyle w:val="ListNumber"/>
      </w:pPr>
      <w:r>
        <w:rPr>
          <w:b/>
        </w:rPr>
        <w:t>Einreichung des Antrags</w:t>
      </w:r>
      <w:r>
        <w:t xml:space="preserve"> mit allen Unterlagen (angestrebt: 01.04.2026)</w:t>
      </w:r>
    </w:p>
    <w:p>
      <w:pPr>
        <w:pStyle w:val="ListNumber"/>
      </w:pPr>
      <w:r>
        <w:rPr>
          <w:b/>
        </w:rPr>
        <w:t>Prüfung durch RAK-Geschäftsstelle</w:t>
      </w:r>
      <w:r>
        <w:t xml:space="preserve"> (ca. 2–4 Wochen)</w:t>
      </w:r>
    </w:p>
    <w:p>
      <w:pPr>
        <w:pStyle w:val="ListNumber"/>
      </w:pPr>
      <w:r>
        <w:rPr>
          <w:b/>
        </w:rPr>
        <w:t>Rückfragen / Nachforderungen</w:t>
      </w:r>
      <w:r>
        <w:t xml:space="preserve"> (erwartet: Handelsregisterauszug)</w:t>
      </w:r>
    </w:p>
    <w:p>
      <w:pPr>
        <w:pStyle w:val="ListNumber"/>
      </w:pPr>
      <w:r>
        <w:rPr>
          <w:b/>
        </w:rPr>
        <w:t>Beschlussfassung des Vorstands</w:t>
      </w:r>
      <w:r>
        <w:t xml:space="preserve"> der RAK Aachen</w:t>
      </w:r>
    </w:p>
    <w:p>
      <w:pPr>
        <w:pStyle w:val="ListNumber"/>
      </w:pPr>
      <w:r>
        <w:rPr>
          <w:b/>
        </w:rPr>
        <w:t>Zulassungsbescheid</w:t>
      </w:r>
      <w:r>
        <w:t xml:space="preserve"> (angestrebt: 30.04.2026)</w:t>
      </w:r>
    </w:p>
    <w:p>
      <w:pPr>
        <w:pStyle w:val="ListNumber"/>
      </w:pPr>
      <w:r>
        <w:rPr>
          <w:b/>
        </w:rPr>
        <w:t>Eintragung im Anwaltsregister</w:t>
      </w:r>
      <w:r>
        <w:t xml:space="preserve"> (§ 31 BRAO)</w:t>
      </w:r>
    </w:p>
    <w:p/>
    <w:p>
      <w:pPr>
        <w:pStyle w:val="Heading2"/>
      </w:pPr>
      <w:r>
        <w:rPr>
          <w:rFonts w:ascii="Times New Roman" w:hAnsi="Times New Roman"/>
        </w:rPr>
        <w:t>5. Sachverhalt — RAK-Korrespondenz</w:t>
      </w:r>
    </w:p>
    <w:p>
      <w:pPr>
        <w:pStyle w:val="Heading3"/>
      </w:pPr>
      <w:r>
        <w:rPr>
          <w:rFonts w:ascii="Times New Roman" w:hAnsi="Times New Roman"/>
        </w:rPr>
        <w:t>Eingangsbestätigung RAK Aachen (08.03.2026, E-Mail)</w:t>
      </w:r>
    </w:p>
    <w:p>
      <w:pPr>
        <w:jc w:val="left"/>
      </w:pPr>
      <w:r>
        <w:t>Die RAK bestätigte den Eingang der Voranfrage und übersandte das aktuelle Merkblatt für RA-GmbHen. Zuständige Sachbearbeiterin: Frau Klara Bäumler (Zulassungsabteilung).</w:t>
      </w:r>
    </w:p>
    <w:p>
      <w:pPr>
        <w:pStyle w:val="Heading3"/>
      </w:pPr>
      <w:r>
        <w:rPr>
          <w:rFonts w:ascii="Times New Roman" w:hAnsi="Times New Roman"/>
        </w:rPr>
        <w:t>Nachforderungsschreiben RAK Aachen (15.04.2026, Brief)</w:t>
      </w:r>
    </w:p>
    <w:p>
      <w:pPr>
        <w:jc w:val="left"/>
      </w:pPr>
      <w:r>
        <w:t>Die RAK forderte nach:</w:t>
      </w:r>
    </w:p>
    <w:p>
      <w:pPr>
        <w:pStyle w:val="ListBullet"/>
      </w:pPr>
      <w:r>
        <w:t>Aktueller Handelsregisterauszug (lag noch nicht vor)</w:t>
      </w:r>
    </w:p>
    <w:p>
      <w:pPr>
        <w:pStyle w:val="ListBullet"/>
      </w:pPr>
      <w:r>
        <w:t>Präzisierung des Kanzleisitzes: Vorlage des unterzeichneten Mietvertrags</w:t>
      </w:r>
    </w:p>
    <w:p>
      <w:pPr>
        <w:jc w:val="left"/>
      </w:pPr>
      <w:r>
        <w:rPr>
          <w:b/>
        </w:rPr>
        <w:t>Reaktion:</w:t>
      </w:r>
      <w:r>
        <w:t xml:space="preserve"> Handelsregisterauszug übermittelt am 18.04.2026. Mietvertrag wird nach Unterzeichnung (erwartet 20.04.2026) unverzüglich nachgereicht.</w:t>
      </w:r>
    </w:p>
    <w:p>
      <w:pPr>
        <w:pStyle w:val="Heading3"/>
      </w:pPr>
      <w:r>
        <w:rPr>
          <w:rFonts w:ascii="Times New Roman" w:hAnsi="Times New Roman"/>
        </w:rPr>
        <w:t>Zulassungsbescheid RAK Aachen (30.04.2026)</w:t>
      </w:r>
    </w:p>
    <w:p>
      <w:pPr>
        <w:jc w:val="left"/>
      </w:pPr>
      <w:r>
        <w:t>Die RAK Aachen hat die Zulassung der Eckermann Friedrich Sandhof Rechtsanwaltsgesellschaft mbH erteilt. Az. RAK AC 2026/00188.</w:t>
      </w:r>
    </w:p>
    <w:p>
      <w:pPr>
        <w:jc w:val="left"/>
      </w:pPr>
      <w:r>
        <w:rPr>
          <w:b/>
        </w:rPr>
        <w:t>Der Bescheid ist als Scan (redacted) beigefügt:</w:t>
      </w:r>
      <w:r>
        <w:t xml:space="preserve"> </w:t>
      </w:r>
      <w:r>
        <w:t>pdfs/zulassungsbescheid_rak_aachen_188_redacted.pdf</w:t>
      </w:r>
    </w:p>
    <w:p/>
    <w:p>
      <w:pPr>
        <w:pStyle w:val="Heading2"/>
      </w:pPr>
      <w:r>
        <w:rPr>
          <w:rFonts w:ascii="Times New Roman" w:hAnsi="Times New Roman"/>
        </w:rPr>
        <w:t>6. Eintragung im Anwaltsregister</w:t>
      </w:r>
    </w:p>
    <w:p>
      <w:pPr>
        <w:jc w:val="left"/>
      </w:pPr>
      <w:r>
        <w:t xml:space="preserve">Nach § 31 BRAO führt die RAK das Anwaltsregister. Die EFS-GmbH wird unter der Registernummer </w:t>
      </w:r>
      <w:r>
        <w:rPr>
          <w:b/>
        </w:rPr>
        <w:t>RAC-GmbH-00043</w:t>
      </w:r>
      <w:r>
        <w:t xml:space="preserve"> eingetragen. Alle drei Geschäftsführer sind als bei der Gesellschaft tätige Rechtsanwälte vermerkt.</w:t>
      </w:r>
    </w:p>
    <w:p/>
    <w:p>
      <w:pPr>
        <w:pStyle w:val="Heading2"/>
      </w:pPr>
      <w:r>
        <w:rPr>
          <w:rFonts w:ascii="Times New Roman" w:hAnsi="Times New Roman"/>
        </w:rPr>
        <w:t>Quellen</w:t>
      </w:r>
    </w:p>
    <w:p>
      <w:pPr>
        <w:pStyle w:val="ListBullet"/>
      </w:pPr>
      <w:r>
        <w:t>BRAO § 59h (Zulassung): dejure.org/gesetze/BRAO/59h</w:t>
      </w:r>
    </w:p>
    <w:p>
      <w:pPr>
        <w:pStyle w:val="ListBullet"/>
      </w:pPr>
      <w:r>
        <w:t>BRAO § 59n (Berufsausübungsgesellschaft allgemein): dejure.org/gesetze/BRAO/59n</w:t>
      </w:r>
    </w:p>
    <w:p>
      <w:pPr>
        <w:pStyle w:val="ListBullet"/>
      </w:pPr>
      <w:r>
        <w:t>BRAO § 31 (Anwaltsregister): dejure.org/gesetze/BRAO/31</w:t>
      </w:r>
    </w:p>
    <w:p>
      <w:pPr>
        <w:pStyle w:val="ListBullet"/>
      </w:pPr>
      <w:r>
        <w:t>BRAO § 7 (Zulassungshindernisse): dejure.org/gesetze/BRAO/7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