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10 Kanzleimietvertrag — Pontstraße 88, 52062 Aachen</w:t>
      </w:r>
    </w:p>
    <w:p>
      <w:pPr>
        <w:jc w:val="left"/>
      </w:pPr>
      <w:r>
        <w:rPr>
          <w:b/>
        </w:rPr>
        <w:t>Aktenzeichen:</w:t>
      </w:r>
      <w:r>
        <w:t xml:space="preserve"> KBH-2026-001-EFS</w:t>
      </w:r>
    </w:p>
    <w:p>
      <w:pPr>
        <w:jc w:val="left"/>
      </w:pPr>
      <w:r>
        <w:rPr>
          <w:b/>
        </w:rPr>
        <w:t>Stand:</w:t>
      </w:r>
      <w:r>
        <w:t xml:space="preserve"> 22. April 2026</w:t>
      </w:r>
    </w:p>
    <w:p>
      <w:pPr>
        <w:jc w:val="left"/>
      </w:pPr>
      <w:r>
        <w:rPr>
          <w:b/>
        </w:rPr>
        <w:t>Bearbeiterin:</w:t>
      </w:r>
      <w:r>
        <w:t xml:space="preserve"> RA Monika Hellwig</w:t>
      </w:r>
    </w:p>
    <w:p/>
    <w:p>
      <w:pPr>
        <w:pStyle w:val="Heading2"/>
      </w:pPr>
      <w:r>
        <w:rPr>
          <w:rFonts w:ascii="Times New Roman" w:hAnsi="Times New Roman"/>
        </w:rPr>
        <w:t>1. Mietobjekt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Details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Adresse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Pontstraße 88, 52062 Aachen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Etage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 Obergeschoss (vollständig)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Nutzfläche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318 m²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Raumaufteilung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 Einzelbüros, 1 Besprechungsraum (ca. 35 m²), 1 Empfangsbereich (ca. 40 m²), Küche, 2 Sanitäreinheiten, Archivraum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Gebäudeart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Gründerzeitgebäude, BJ ca. 1905, kernsaniert 2018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Tiefgarage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 Stellplätze inkl.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Barrierefreiheit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Aufzug vorhanden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Vermieter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Gewerbe-Immobilien Aachen Dörsam GmbH (vertreten durch GF Hans-Jürgen Dörsam)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Mieter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Eckermann Friedrich Sandhof Rechtsanwaltsgesellschaft mbH (nach Eintragung)</w:t>
            </w:r>
          </w:p>
        </w:tc>
      </w:tr>
    </w:tbl>
    <w:p>
      <w:pPr>
        <w:jc w:val="left"/>
      </w:pPr>
      <w:r>
        <w:t>Die Pontstraße ist eine der belebtesten Lagen Aachens, in unmittelbarer Nähe zum Dom, zur Kaiserstraße und zum Verwaltungsgericht Aachen. Die Adresse bietet hervorragende Sichtbarkeit für Mandanten.</w:t>
      </w:r>
    </w:p>
    <w:p/>
    <w:p>
      <w:pPr>
        <w:pStyle w:val="Heading2"/>
      </w:pPr>
      <w:r>
        <w:rPr>
          <w:rFonts w:ascii="Times New Roman" w:hAnsi="Times New Roman"/>
        </w:rPr>
        <w:t>2. Mietkonditionen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Konditum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Betrag/Regelung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Nettomiete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16,50 EUR/m² = 5.247 EUR/Monat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Nebenkosten (Vorauszahlung)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780 EUR/Monat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Stellplätze (3 × 85 EUR)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255 EUR/Monat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Gesamtmiete monatlich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6.282 EUR inkl. NK und Stellplätze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Mietbeginn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 Mai 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Grundmietzeit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 Jahre (bis 30. April 2031)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Verlängerungsoption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 × 3 Jahre auf Mieterseite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Kaution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 Monatsmieten Nettomiete = 15.741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Indexierung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Jährliche Anpassung an VPI (Statistisches Bundesamt), Kappungsgrenze 3 % p.a.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Sonderkündigungsrecht Mieter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Bei Zulassungsentzug RAK Aachen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Wesentliche Vertragsklauseln</w:t>
      </w:r>
    </w:p>
    <w:p>
      <w:pPr>
        <w:pStyle w:val="Heading3"/>
      </w:pPr>
      <w:r>
        <w:rPr>
          <w:rFonts w:ascii="Times New Roman" w:hAnsi="Times New Roman"/>
        </w:rPr>
        <w:t>§ 4 Übergabe und Zustand</w:t>
      </w:r>
    </w:p>
    <w:p>
      <w:pPr>
        <w:jc w:val="left"/>
      </w:pPr>
      <w:r>
        <w:t>Das Mietobjekt wird im aktuellen Zustand (kernsaniert, Trockenbautrennwände) übergeben. Der Mieter erhält einen Mieterausbaukostenzuschuss von 25.000 EUR netto (einmalig) für kanzleitypischen Ausbau (Einbaumöbel, Empfangstheke, IT-Verkabelung).</w:t>
      </w:r>
    </w:p>
    <w:p>
      <w:pPr>
        <w:pStyle w:val="Heading3"/>
      </w:pPr>
      <w:r>
        <w:rPr>
          <w:rFonts w:ascii="Times New Roman" w:hAnsi="Times New Roman"/>
        </w:rPr>
        <w:t>§ 6 Nutzung</w:t>
      </w:r>
    </w:p>
    <w:p>
      <w:pPr>
        <w:jc w:val="left"/>
      </w:pPr>
      <w:r>
        <w:t>Das Objekt darf ausschließlich als Rechtsanwaltskanzlei genutzt werden. Andere Nutzungen bedürfen der schriftlichen Zustimmung des Vermieters.</w:t>
      </w:r>
    </w:p>
    <w:p>
      <w:pPr>
        <w:pStyle w:val="Heading3"/>
      </w:pPr>
      <w:r>
        <w:rPr>
          <w:rFonts w:ascii="Times New Roman" w:hAnsi="Times New Roman"/>
        </w:rPr>
        <w:t>§ 8 Konkurrenzschutzklausel</w:t>
      </w:r>
    </w:p>
    <w:p>
      <w:pPr>
        <w:jc w:val="left"/>
      </w:pPr>
      <w:r>
        <w:t>Der Vermieter sichert zu, im selben Gebäude keine andere Rechtsanwaltskanzlei anzusiedeln (Konkurrenzschutzklausel für die Grundmietzeit).</w:t>
      </w:r>
    </w:p>
    <w:p>
      <w:pPr>
        <w:pStyle w:val="Heading3"/>
      </w:pPr>
      <w:r>
        <w:rPr>
          <w:rFonts w:ascii="Times New Roman" w:hAnsi="Times New Roman"/>
        </w:rPr>
        <w:t>§ 12 Untervermietung</w:t>
      </w:r>
    </w:p>
    <w:p>
      <w:pPr>
        <w:jc w:val="left"/>
      </w:pPr>
      <w:r>
        <w:t>Untervermietung bedarf der Zustimmung des Vermieters. Ausgenommen ist die Aufnahme angestellter Rechtsanwältinnen und Rechtsanwälte.</w:t>
      </w:r>
    </w:p>
    <w:p>
      <w:pPr>
        <w:pStyle w:val="Heading3"/>
      </w:pPr>
      <w:r>
        <w:rPr>
          <w:rFonts w:ascii="Times New Roman" w:hAnsi="Times New Roman"/>
        </w:rPr>
        <w:t>§ 15 Schönheitsreparaturen</w:t>
      </w:r>
    </w:p>
    <w:p>
      <w:pPr>
        <w:jc w:val="left"/>
      </w:pPr>
      <w:r>
        <w:t>Starre Renovierungsklauseln sind nach BGH-Rechtsprechung unwirksam (BGH, Urt. v. 05.04.2006, VIII ZR 178/05). Der Vertrag enthält daher eine flexible Klausel: Schönheitsreparaturen nur bei tatsächlichem Renovierungsbedarf; Zustand bei Einzug maßgebend.</w:t>
      </w:r>
    </w:p>
    <w:p/>
    <w:p>
      <w:pPr>
        <w:pStyle w:val="Heading2"/>
      </w:pPr>
      <w:r>
        <w:rPr>
          <w:rFonts w:ascii="Times New Roman" w:hAnsi="Times New Roman"/>
        </w:rPr>
        <w:t>4. Vertragsverhandlungen und Probleme</w:t>
      </w:r>
    </w:p>
    <w:p>
      <w:pPr>
        <w:pStyle w:val="Heading3"/>
      </w:pPr>
      <w:r>
        <w:rPr>
          <w:rFonts w:ascii="Times New Roman" w:hAnsi="Times New Roman"/>
        </w:rPr>
        <w:t>Problem 1: Mieterhöhung ab Jahr 2</w:t>
      </w:r>
    </w:p>
    <w:p>
      <w:pPr>
        <w:jc w:val="left"/>
      </w:pPr>
      <w:r>
        <w:t>Der Vermieter hatte zunächst eine automatische Mieterhöhung von 5 % nach 12 Monaten begehrt (ohne VPI-Kopplung). Dies ist nach § 557a BGB (Staffelmietvereinbarung) zulässig, wurde aber abgelehnt, da eine VPI-Bindung dem Mieter mehr Planungssicherheit gibt. Ergebnis: VPI-Indexklausel mit Kappungsgrenze 3 %, Staffelklausel gestrichen.</w:t>
      </w:r>
    </w:p>
    <w:p>
      <w:pPr>
        <w:pStyle w:val="Heading3"/>
      </w:pPr>
      <w:r>
        <w:rPr>
          <w:rFonts w:ascii="Times New Roman" w:hAnsi="Times New Roman"/>
        </w:rPr>
        <w:t>Problem 2: Kaution und Bankbürgschaft</w:t>
      </w:r>
    </w:p>
    <w:p>
      <w:pPr>
        <w:jc w:val="left"/>
      </w:pPr>
      <w:r>
        <w:t>Der Vermieter forderte zunächst eine selbstschuldnerische Bankbürgschaft. Da die EFS-GmbH als Neugründung keine langjährige Kredithistorie hat, war eine günstige Bürgschaft schwierig zu erhalten. Kompromiss: Barkautionsleistung 15.741 EUR (auf Mietkautionskonto) zzgl. persönlicher Bürgschaft jedes der drei Gesellschafter in Höhe von je 5.000 EUR.</w:t>
      </w:r>
    </w:p>
    <w:p>
      <w:pPr>
        <w:pStyle w:val="Heading3"/>
      </w:pPr>
      <w:r>
        <w:rPr>
          <w:rFonts w:ascii="Times New Roman" w:hAnsi="Times New Roman"/>
        </w:rPr>
        <w:t>Problem 3: Sonderkündigungsrecht</w:t>
      </w:r>
    </w:p>
    <w:p>
      <w:pPr>
        <w:jc w:val="left"/>
      </w:pPr>
      <w:r>
        <w:t>Die EFS-GmbH bestand auf einem Sonderkündigungsrecht bei Entzug der RAK-Zulassung oder bei Insolvenz der GmbH. Vermieter stimmte zu, begrenzt auf 6 Monate Kündigungsfrist (ansonsten Grundmietzeit bindend).</w:t>
      </w:r>
    </w:p>
    <w:p/>
    <w:p>
      <w:pPr>
        <w:pStyle w:val="Heading2"/>
      </w:pPr>
      <w:r>
        <w:rPr>
          <w:rFonts w:ascii="Times New Roman" w:hAnsi="Times New Roman"/>
        </w:rPr>
        <w:t>5. Stand Mietvertrag</w:t>
      </w:r>
    </w:p>
    <w:p>
      <w:pPr>
        <w:pStyle w:val="ListBullet"/>
      </w:pPr>
      <w:r>
        <w:rPr>
          <w:b/>
        </w:rPr>
        <w:t>Unterzeichnung Mietvertrag:</w:t>
      </w:r>
      <w:r>
        <w:t xml:space="preserve"> 22. April 2026</w:t>
      </w:r>
    </w:p>
    <w:p>
      <w:pPr>
        <w:pStyle w:val="ListBullet"/>
      </w:pPr>
      <w:r>
        <w:rPr>
          <w:b/>
        </w:rPr>
        <w:t>Übergabe Schlüssel:</w:t>
      </w:r>
      <w:r>
        <w:t xml:space="preserve"> 25. April 2026 (zum Beginn Umbauarbeiten)</w:t>
      </w:r>
    </w:p>
    <w:p>
      <w:pPr>
        <w:pStyle w:val="ListBullet"/>
      </w:pPr>
      <w:r>
        <w:rPr>
          <w:b/>
        </w:rPr>
        <w:t>Mietbeginn (Zahlungspflicht):</w:t>
      </w:r>
      <w:r>
        <w:t xml:space="preserve"> 01. Mai 2026</w:t>
      </w:r>
    </w:p>
    <w:p>
      <w:pPr>
        <w:jc w:val="left"/>
      </w:pPr>
      <w:r>
        <w:t>Mietvertrag liegt im Original vor. Eine Kopie wurde der RAK Aachen als Sitznachweis übersandt (Aktenstück 08).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BGB § 557a (Staffelmiete): dejure.org/gesetze/BGB/557a</w:t>
      </w:r>
    </w:p>
    <w:p>
      <w:pPr>
        <w:pStyle w:val="ListBullet"/>
      </w:pPr>
      <w:r>
        <w:t>BGB § 578 (Gewerbemiete): dejure.org/gesetze/BGB/578</w:t>
      </w:r>
    </w:p>
    <w:p>
      <w:pPr>
        <w:pStyle w:val="ListBullet"/>
      </w:pPr>
      <w:r>
        <w:t>BGH, Urt. v. 05.04.2006, VIII ZR 178/05 (Schönheitsreparaturen): bundesgerichtshof.de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