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Markenanmeldung "EFS Recht" — Kollision mit UM 018-188-466</w:t>
      </w:r>
    </w:p>
    <w:p>
      <w:pPr>
        <w:jc w:val="left"/>
      </w:pPr>
      <w:r>
        <w:rPr>
          <w:b/>
        </w:rPr>
        <w:t>Aktenzeichen:</w:t>
      </w:r>
      <w:r>
        <w:t xml:space="preserve"> KBH-2026-001-EFS</w:t>
      </w:r>
    </w:p>
    <w:p>
      <w:pPr>
        <w:jc w:val="left"/>
      </w:pPr>
      <w:r>
        <w:rPr>
          <w:b/>
        </w:rPr>
        <w:t>Stand:</w:t>
      </w:r>
      <w:r>
        <w:t xml:space="preserve"> 28. April 2026</w:t>
      </w:r>
    </w:p>
    <w:p>
      <w:pPr>
        <w:jc w:val="left"/>
      </w:pPr>
      <w:r>
        <w:rPr>
          <w:b/>
        </w:rPr>
        <w:t>Bearbeiter:</w:t>
      </w:r>
      <w:r>
        <w:t xml:space="preserve"> RA Monika Hellwig (Markenrecht)</w:t>
      </w:r>
    </w:p>
    <w:p/>
    <w:p>
      <w:pPr>
        <w:pStyle w:val="Heading2"/>
      </w:pPr>
      <w:r>
        <w:rPr>
          <w:rFonts w:ascii="Times New Roman" w:hAnsi="Times New Roman"/>
        </w:rPr>
        <w:t>1. Ausgangslage</w:t>
      </w:r>
    </w:p>
    <w:p>
      <w:pPr>
        <w:jc w:val="left"/>
      </w:pPr>
      <w:r>
        <w:t xml:space="preserve">Die EFS-GmbH möchte die Bezeichnung </w:t>
      </w:r>
      <w:r>
        <w:rPr>
          <w:b/>
        </w:rPr>
        <w:t>"EFS Recht"</w:t>
      </w:r>
      <w:r>
        <w:t xml:space="preserve"> als Wortmarke beim Deutschen Patent- und Markenamt (DPMA) anmelden. Recherchen im DPMA-Markenregister und in der EUIPO-Datenbank haben eine potenziell kollidierende ältere Marke aufgedeckt:</w:t>
      </w:r>
    </w:p>
    <w:p>
      <w:pPr>
        <w:jc w:val="left"/>
      </w:pPr>
      <w:r>
        <w:rPr>
          <w:b/>
        </w:rPr>
        <w:t>Ältere Marke:</w:t>
      </w:r>
      <w:r>
        <w:t xml:space="preserve"> Unionsmarke (UM) Nr. </w:t>
      </w:r>
      <w:r>
        <w:rPr>
          <w:b/>
        </w:rPr>
        <w:t>018-188-466</w:t>
      </w:r>
    </w:p>
    <w:p>
      <w:pPr>
        <w:jc w:val="left"/>
      </w:pPr>
      <w:r>
        <w:rPr>
          <w:b/>
        </w:rPr>
        <w:t>Inhaber:</w:t>
      </w:r>
      <w:r>
        <w:t xml:space="preserve"> EFS Kanzlei Stuttgart GmbH &amp; Co. KG (Stuttgart)</w:t>
      </w:r>
    </w:p>
    <w:p>
      <w:pPr>
        <w:jc w:val="left"/>
      </w:pPr>
      <w:r>
        <w:rPr>
          <w:b/>
        </w:rPr>
        <w:t>Zeichen:</w:t>
      </w:r>
      <w:r>
        <w:t xml:space="preserve"> "EFS KANZLEI" (Wortmarke)</w:t>
      </w:r>
    </w:p>
    <w:p>
      <w:pPr>
        <w:jc w:val="left"/>
      </w:pPr>
      <w:r>
        <w:rPr>
          <w:b/>
        </w:rPr>
        <w:t>Klassen:</w:t>
      </w:r>
      <w:r>
        <w:t xml:space="preserve"> NIZZA-Klasse 45 (Rechtsberatung, Rechtsdienstleistungen)</w:t>
      </w:r>
    </w:p>
    <w:p>
      <w:pPr>
        <w:jc w:val="left"/>
      </w:pPr>
      <w:r>
        <w:rPr>
          <w:b/>
        </w:rPr>
        <w:t>Anmeldetag:</w:t>
      </w:r>
      <w:r>
        <w:t xml:space="preserve"> 14.09.2021</w:t>
      </w:r>
    </w:p>
    <w:p>
      <w:pPr>
        <w:jc w:val="left"/>
      </w:pPr>
      <w:r>
        <w:rPr>
          <w:b/>
        </w:rPr>
        <w:t>Eingetragen:</w:t>
      </w:r>
      <w:r>
        <w:t xml:space="preserve"> 18.02.2022</w:t>
      </w:r>
    </w:p>
    <w:p>
      <w:pPr>
        <w:jc w:val="left"/>
      </w:pPr>
      <w:r>
        <w:rPr>
          <w:b/>
        </w:rPr>
        <w:t>Status:</w:t>
      </w:r>
      <w:r>
        <w:t xml:space="preserve"> Eingetragen, gültig bis 14.09.2031</w:t>
      </w:r>
    </w:p>
    <w:p>
      <w:pPr>
        <w:jc w:val="left"/>
      </w:pPr>
      <w:r>
        <w:t>Die Unionsmarke UM 018-188-466 wurde in der EUIPO-Datenbank recherchiert (euipo.europa.eu, TMview).</w:t>
      </w:r>
    </w:p>
    <w:p/>
    <w:p>
      <w:pPr>
        <w:pStyle w:val="Heading2"/>
      </w:pPr>
      <w:r>
        <w:rPr>
          <w:rFonts w:ascii="Times New Roman" w:hAnsi="Times New Roman"/>
        </w:rPr>
        <w:t>2. Verwechslungsgefahr nach § 9 MarkenG</w:t>
      </w:r>
    </w:p>
    <w:p>
      <w:pPr>
        <w:pStyle w:val="Heading3"/>
      </w:pPr>
      <w:r>
        <w:rPr>
          <w:rFonts w:ascii="Times New Roman" w:hAnsi="Times New Roman"/>
        </w:rPr>
        <w:t>Maßstab</w:t>
      </w:r>
    </w:p>
    <w:p>
      <w:pPr>
        <w:jc w:val="left"/>
      </w:pPr>
      <w:r>
        <w:t>Gemäß § 9 Abs. 1 Nr. 2 MarkenG ist eine jüngere Marke zu löschen, wenn wegen ihrer Identität oder Ähnlichkeit mit einer eingetragenen Marke und der Identität oder Ähnlichkeit der durch die eingetragenen Marken erfassten Waren oder Dienstleistungen für das Publikum die Gefahr von Verwechslungen besteht. Diese Vorschrift basiert auf Art. 8 Abs. 1 lit. b Unionsmarkenverordnung (UMV).</w:t>
      </w:r>
    </w:p>
    <w:p>
      <w:pPr>
        <w:pStyle w:val="Heading3"/>
      </w:pPr>
      <w:r>
        <w:rPr>
          <w:rFonts w:ascii="Times New Roman" w:hAnsi="Times New Roman"/>
        </w:rPr>
        <w:t>Zeichenähnlichkeit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Kriterium</w:t>
            </w:r>
          </w:p>
        </w:tc>
        <w:tc>
          <w:tcPr>
            <w:tcW w:type="dxa" w:w="3024"/>
          </w:tcPr>
          <w:p>
            <w:r>
              <w:rPr>
                <w:rFonts w:ascii="Times New Roman" w:hAnsi="Times New Roman"/>
                <w:b/>
                <w:sz w:val="20"/>
              </w:rPr>
              <w:t>Ältere Marke</w:t>
            </w:r>
          </w:p>
        </w:tc>
        <w:tc>
          <w:tcPr>
            <w:tcW w:type="dxa" w:w="3024"/>
          </w:tcPr>
          <w:p>
            <w:r>
              <w:rPr>
                <w:rFonts w:ascii="Times New Roman" w:hAnsi="Times New Roman"/>
                <w:b/>
                <w:sz w:val="20"/>
              </w:rPr>
              <w:t>Angemeldetes Zeichen</w:t>
            </w:r>
          </w:p>
        </w:tc>
      </w:tr>
      <w:tr>
        <w:tc>
          <w:tcPr>
            <w:tcW w:type="dxa" w:w="3024"/>
          </w:tcPr>
          <w:p>
            <w:r>
              <w:rPr>
                <w:rFonts w:ascii="Times New Roman" w:hAnsi="Times New Roman"/>
                <w:sz w:val="20"/>
              </w:rPr>
              <w:t>Zeichen</w:t>
            </w:r>
          </w:p>
        </w:tc>
        <w:tc>
          <w:tcPr>
            <w:tcW w:type="dxa" w:w="3024"/>
          </w:tcPr>
          <w:p>
            <w:r>
              <w:rPr>
                <w:rFonts w:ascii="Times New Roman" w:hAnsi="Times New Roman"/>
                <w:sz w:val="20"/>
              </w:rPr>
              <w:t>EFS KANZLEI</w:t>
            </w:r>
          </w:p>
        </w:tc>
        <w:tc>
          <w:tcPr>
            <w:tcW w:type="dxa" w:w="3024"/>
          </w:tcPr>
          <w:p>
            <w:r>
              <w:rPr>
                <w:rFonts w:ascii="Times New Roman" w:hAnsi="Times New Roman"/>
                <w:sz w:val="20"/>
              </w:rPr>
              <w:t>EFS RECHT</w:t>
            </w:r>
          </w:p>
        </w:tc>
      </w:tr>
      <w:tr>
        <w:tc>
          <w:tcPr>
            <w:tcW w:type="dxa" w:w="3024"/>
          </w:tcPr>
          <w:p>
            <w:r>
              <w:rPr>
                <w:rFonts w:ascii="Times New Roman" w:hAnsi="Times New Roman"/>
                <w:sz w:val="20"/>
              </w:rPr>
              <w:t>Identisches Element</w:t>
            </w:r>
          </w:p>
        </w:tc>
        <w:tc>
          <w:tcPr>
            <w:tcW w:type="dxa" w:w="3024"/>
          </w:tcPr>
          <w:p>
            <w:r>
              <w:rPr>
                <w:rFonts w:ascii="Times New Roman" w:hAnsi="Times New Roman"/>
                <w:sz w:val="20"/>
              </w:rPr>
              <w:t>"EFS"</w:t>
            </w:r>
          </w:p>
        </w:tc>
        <w:tc>
          <w:tcPr>
            <w:tcW w:type="dxa" w:w="3024"/>
          </w:tcPr>
          <w:p>
            <w:r>
              <w:rPr>
                <w:rFonts w:ascii="Times New Roman" w:hAnsi="Times New Roman"/>
                <w:sz w:val="20"/>
              </w:rPr>
              <w:t>"EFS"</w:t>
            </w:r>
          </w:p>
        </w:tc>
      </w:tr>
      <w:tr>
        <w:tc>
          <w:tcPr>
            <w:tcW w:type="dxa" w:w="3024"/>
          </w:tcPr>
          <w:p>
            <w:r>
              <w:rPr>
                <w:rFonts w:ascii="Times New Roman" w:hAnsi="Times New Roman"/>
                <w:sz w:val="20"/>
              </w:rPr>
              <w:t>Unterschied</w:t>
            </w:r>
          </w:p>
        </w:tc>
        <w:tc>
          <w:tcPr>
            <w:tcW w:type="dxa" w:w="3024"/>
          </w:tcPr>
          <w:p>
            <w:r>
              <w:rPr>
                <w:rFonts w:ascii="Times New Roman" w:hAnsi="Times New Roman"/>
                <w:sz w:val="20"/>
              </w:rPr>
              <w:t>"KANZLEI"</w:t>
            </w:r>
          </w:p>
        </w:tc>
        <w:tc>
          <w:tcPr>
            <w:tcW w:type="dxa" w:w="3024"/>
          </w:tcPr>
          <w:p>
            <w:r>
              <w:rPr>
                <w:rFonts w:ascii="Times New Roman" w:hAnsi="Times New Roman"/>
                <w:sz w:val="20"/>
              </w:rPr>
              <w:t>"RECHT"</w:t>
            </w:r>
          </w:p>
        </w:tc>
      </w:tr>
      <w:tr>
        <w:tc>
          <w:tcPr>
            <w:tcW w:type="dxa" w:w="3024"/>
          </w:tcPr>
          <w:p>
            <w:r>
              <w:rPr>
                <w:rFonts w:ascii="Times New Roman" w:hAnsi="Times New Roman"/>
                <w:sz w:val="20"/>
              </w:rPr>
              <w:t>Gesamteindruck</w:t>
            </w:r>
          </w:p>
        </w:tc>
        <w:tc>
          <w:tcPr>
            <w:tcW w:type="dxa" w:w="3024"/>
          </w:tcPr>
          <w:p>
            <w:r>
              <w:rPr>
                <w:rFonts w:ascii="Times New Roman" w:hAnsi="Times New Roman"/>
                <w:sz w:val="20"/>
              </w:rPr>
              <w:t>Stark ähnlich</w:t>
            </w:r>
          </w:p>
        </w:tc>
        <w:tc>
          <w:tcPr>
            <w:tcW w:type="dxa" w:w="3024"/>
          </w:tcPr>
          <w:p>
            <w:r>
              <w:rPr>
                <w:rFonts w:ascii="Times New Roman" w:hAnsi="Times New Roman"/>
                <w:sz w:val="20"/>
              </w:rPr>
              <w:t>Stark ähnlich</w:t>
            </w:r>
          </w:p>
        </w:tc>
      </w:tr>
    </w:tbl>
    <w:p>
      <w:pPr>
        <w:jc w:val="left"/>
      </w:pPr>
      <w:r>
        <w:t>Das Kürzel "EFS" ist das dominierende Element beider Zeichen. Die Unterscheidungsbestandteile "KANZLEI" und "RECHT" sind Gattungsbegriffe für die Klasse 45 und haben daher nur schwache Unterscheidungskraft (EuGH, C-120/04, Medion/Thomson).</w:t>
      </w:r>
    </w:p>
    <w:p>
      <w:pPr>
        <w:pStyle w:val="Heading3"/>
      </w:pPr>
      <w:r>
        <w:rPr>
          <w:rFonts w:ascii="Times New Roman" w:hAnsi="Times New Roman"/>
        </w:rPr>
        <w:t>Dienstleistungsidentität</w:t>
      </w:r>
    </w:p>
    <w:p>
      <w:pPr>
        <w:jc w:val="left"/>
      </w:pPr>
      <w:r>
        <w:t>Beide Zeichen sind in Klasse 45 (Rechtsberatung) tätig. Dienstleistungsidentität ist zu bejahen.</w:t>
      </w:r>
    </w:p>
    <w:p>
      <w:pPr>
        <w:pStyle w:val="Heading3"/>
      </w:pPr>
      <w:r>
        <w:rPr>
          <w:rFonts w:ascii="Times New Roman" w:hAnsi="Times New Roman"/>
        </w:rPr>
        <w:t>Ergebnis Verwechslungsgefahr</w:t>
      </w:r>
    </w:p>
    <w:p>
      <w:pPr>
        <w:jc w:val="left"/>
      </w:pPr>
      <w:r>
        <w:t xml:space="preserve">Die Verwechslungsgefahr ist </w:t>
      </w:r>
      <w:r>
        <w:rPr>
          <w:b/>
        </w:rPr>
        <w:t>erheblich</w:t>
      </w:r>
      <w:r>
        <w:t>. Ein Widerspruchsverfahren der EFS Kanzlei Stuttgart GmbH &amp; Co. KG gegen die DPMA-Anmeldung ist sehr wahrscheinlich. Das Widerspruchsschreiben vom 02. April 2026 bestätigt dies (Aktenstück 08 E-Mail).</w:t>
      </w:r>
    </w:p>
    <w:p/>
    <w:p>
      <w:pPr>
        <w:pStyle w:val="Heading2"/>
      </w:pPr>
      <w:r>
        <w:rPr>
          <w:rFonts w:ascii="Times New Roman" w:hAnsi="Times New Roman"/>
        </w:rPr>
        <w:t>3. DPMA-Anmeldung EFS Recht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Angabe</w:t>
            </w:r>
          </w:p>
        </w:tc>
        <w:tc>
          <w:tcPr>
            <w:tcW w:type="dxa" w:w="4536"/>
          </w:tcPr>
          <w:p>
            <w:r>
              <w:rPr>
                <w:rFonts w:ascii="Times New Roman" w:hAnsi="Times New Roman"/>
                <w:b/>
                <w:sz w:val="20"/>
              </w:rPr>
              <w:t>Details</w:t>
            </w:r>
          </w:p>
        </w:tc>
      </w:tr>
      <w:tr>
        <w:tc>
          <w:tcPr>
            <w:tcW w:type="dxa" w:w="4536"/>
          </w:tcPr>
          <w:p>
            <w:r>
              <w:rPr>
                <w:rFonts w:ascii="Times New Roman" w:hAnsi="Times New Roman"/>
                <w:sz w:val="20"/>
              </w:rPr>
              <w:t>Anmeldetag</w:t>
            </w:r>
          </w:p>
        </w:tc>
        <w:tc>
          <w:tcPr>
            <w:tcW w:type="dxa" w:w="4536"/>
          </w:tcPr>
          <w:p>
            <w:r>
              <w:rPr>
                <w:rFonts w:ascii="Times New Roman" w:hAnsi="Times New Roman"/>
                <w:sz w:val="20"/>
              </w:rPr>
              <w:t>25. März 2026</w:t>
            </w:r>
          </w:p>
        </w:tc>
      </w:tr>
      <w:tr>
        <w:tc>
          <w:tcPr>
            <w:tcW w:type="dxa" w:w="4536"/>
          </w:tcPr>
          <w:p>
            <w:r>
              <w:rPr>
                <w:rFonts w:ascii="Times New Roman" w:hAnsi="Times New Roman"/>
                <w:sz w:val="20"/>
              </w:rPr>
              <w:t>Aktenzeichen DPMA</w:t>
            </w:r>
          </w:p>
        </w:tc>
        <w:tc>
          <w:tcPr>
            <w:tcW w:type="dxa" w:w="4536"/>
          </w:tcPr>
          <w:p>
            <w:r>
              <w:rPr>
                <w:rFonts w:ascii="Times New Roman" w:hAnsi="Times New Roman"/>
                <w:sz w:val="20"/>
              </w:rPr>
              <w:t>30 2026 123 456</w:t>
            </w:r>
          </w:p>
        </w:tc>
      </w:tr>
      <w:tr>
        <w:tc>
          <w:tcPr>
            <w:tcW w:type="dxa" w:w="4536"/>
          </w:tcPr>
          <w:p>
            <w:r>
              <w:rPr>
                <w:rFonts w:ascii="Times New Roman" w:hAnsi="Times New Roman"/>
                <w:sz w:val="20"/>
              </w:rPr>
              <w:t>Zeichen</w:t>
            </w:r>
          </w:p>
        </w:tc>
        <w:tc>
          <w:tcPr>
            <w:tcW w:type="dxa" w:w="4536"/>
          </w:tcPr>
          <w:p>
            <w:r>
              <w:rPr>
                <w:rFonts w:ascii="Times New Roman" w:hAnsi="Times New Roman"/>
                <w:sz w:val="20"/>
              </w:rPr>
              <w:t>EFS RECHT (Wort)</w:t>
            </w:r>
          </w:p>
        </w:tc>
      </w:tr>
      <w:tr>
        <w:tc>
          <w:tcPr>
            <w:tcW w:type="dxa" w:w="4536"/>
          </w:tcPr>
          <w:p>
            <w:r>
              <w:rPr>
                <w:rFonts w:ascii="Times New Roman" w:hAnsi="Times New Roman"/>
                <w:sz w:val="20"/>
              </w:rPr>
              <w:t>Klassen</w:t>
            </w:r>
          </w:p>
        </w:tc>
        <w:tc>
          <w:tcPr>
            <w:tcW w:type="dxa" w:w="4536"/>
          </w:tcPr>
          <w:p>
            <w:r>
              <w:rPr>
                <w:rFonts w:ascii="Times New Roman" w:hAnsi="Times New Roman"/>
                <w:sz w:val="20"/>
              </w:rPr>
              <w:t>45 (Rechtsberatung, Rechtsdienstleistungen), 41 (Fortbildung)</w:t>
            </w:r>
          </w:p>
        </w:tc>
      </w:tr>
      <w:tr>
        <w:tc>
          <w:tcPr>
            <w:tcW w:type="dxa" w:w="4536"/>
          </w:tcPr>
          <w:p>
            <w:r>
              <w:rPr>
                <w:rFonts w:ascii="Times New Roman" w:hAnsi="Times New Roman"/>
                <w:sz w:val="20"/>
              </w:rPr>
              <w:t>Anmelder</w:t>
            </w:r>
          </w:p>
        </w:tc>
        <w:tc>
          <w:tcPr>
            <w:tcW w:type="dxa" w:w="4536"/>
          </w:tcPr>
          <w:p>
            <w:r>
              <w:rPr>
                <w:rFonts w:ascii="Times New Roman" w:hAnsi="Times New Roman"/>
                <w:sz w:val="20"/>
              </w:rPr>
              <w:t>Eckermann Friedrich Sandhof Rechtsanwaltsgesellschaft mbH</w:t>
            </w:r>
          </w:p>
        </w:tc>
      </w:tr>
      <w:tr>
        <w:tc>
          <w:tcPr>
            <w:tcW w:type="dxa" w:w="4536"/>
          </w:tcPr>
          <w:p>
            <w:r>
              <w:rPr>
                <w:rFonts w:ascii="Times New Roman" w:hAnsi="Times New Roman"/>
                <w:sz w:val="20"/>
              </w:rPr>
              <w:t>Vertreter</w:t>
            </w:r>
          </w:p>
        </w:tc>
        <w:tc>
          <w:tcPr>
            <w:tcW w:type="dxa" w:w="4536"/>
          </w:tcPr>
          <w:p>
            <w:r>
              <w:rPr>
                <w:rFonts w:ascii="Times New Roman" w:hAnsi="Times New Roman"/>
                <w:sz w:val="20"/>
              </w:rPr>
              <w:t>RA Monika Hellwig (Hellwig &amp; Partner, Köln)</w:t>
            </w:r>
          </w:p>
        </w:tc>
      </w:tr>
    </w:tbl>
    <w:p/>
    <w:p>
      <w:pPr>
        <w:pStyle w:val="Heading2"/>
      </w:pPr>
      <w:r>
        <w:rPr>
          <w:rFonts w:ascii="Times New Roman" w:hAnsi="Times New Roman"/>
        </w:rPr>
        <w:t>4. Widerspruchsschreiben EFS Kanzlei Stuttgart (02.04.2026)</w:t>
      </w:r>
    </w:p>
    <w:p>
      <w:pPr>
        <w:jc w:val="left"/>
      </w:pPr>
      <w:r>
        <w:t>Am 02. April 2026 erhielt die Kanzlei Hellwig &amp; Partner ein außergerichtliches Widerspruchsschreiben der RA Gerhild Brecker (Stuttgart), die die EFS Kanzlei Stuttgart GmbH &amp; Co. KG vertritt. Die EFS Stuttgart droht mit:</w:t>
      </w:r>
    </w:p>
    <w:p>
      <w:pPr>
        <w:pStyle w:val="ListNumber"/>
      </w:pPr>
      <w:r>
        <w:t>Widerspruch beim DPMA gegen die EFS-Recht-Anmeldung (§ 42 MarkenG, Widerspruchsfrist 3 Monate ab Eintragung)</w:t>
      </w:r>
    </w:p>
    <w:p>
      <w:pPr>
        <w:pStyle w:val="ListNumber"/>
      </w:pPr>
      <w:r>
        <w:t>Abmahnung wegen Verletzung der Unionsmarke UM 018-188-466 (Art. 9 Abs. 1 UMV)</w:t>
      </w:r>
    </w:p>
    <w:p>
      <w:pPr>
        <w:pStyle w:val="ListNumber"/>
      </w:pPr>
      <w:r>
        <w:t>Antrag auf einstweilige Verfügung beim LG Stuttgart oder LG Aachen</w:t>
      </w:r>
    </w:p>
    <w:p/>
    <w:p>
      <w:pPr>
        <w:pStyle w:val="Heading2"/>
      </w:pPr>
      <w:r>
        <w:rPr>
          <w:rFonts w:ascii="Times New Roman" w:hAnsi="Times New Roman"/>
        </w:rPr>
        <w:t>5. Optionen und Strategie</w:t>
      </w:r>
    </w:p>
    <w:p>
      <w:pPr>
        <w:pStyle w:val="Heading3"/>
      </w:pPr>
      <w:r>
        <w:rPr>
          <w:rFonts w:ascii="Times New Roman" w:hAnsi="Times New Roman"/>
        </w:rPr>
        <w:t>Option A: Zeichenänderung</w:t>
      </w:r>
    </w:p>
    <w:p>
      <w:pPr>
        <w:jc w:val="left"/>
      </w:pPr>
      <w:r>
        <w:t>Aufgabe der Bezeichnung "EFS Recht" und Anmeldung eines differenzierenderen Zeichens, z.B.:</w:t>
      </w:r>
    </w:p>
    <w:p>
      <w:pPr>
        <w:pStyle w:val="ListBullet"/>
      </w:pPr>
      <w:r>
        <w:t>"EFS Recht Aachen" (geografische Unterscheidung)</w:t>
      </w:r>
    </w:p>
    <w:p>
      <w:pPr>
        <w:pStyle w:val="ListBullet"/>
      </w:pPr>
      <w:r>
        <w:t>"EFS Legal" (englischsprachig, abweichend)</w:t>
      </w:r>
    </w:p>
    <w:p>
      <w:pPr>
        <w:pStyle w:val="ListBullet"/>
      </w:pPr>
      <w:r>
        <w:t>"Eckermann Friedrich Sandhof" (vollständiger Name)</w:t>
      </w:r>
    </w:p>
    <w:p>
      <w:pPr>
        <w:jc w:val="left"/>
      </w:pPr>
      <w:r>
        <w:rPr>
          <w:b/>
        </w:rPr>
        <w:t>Bewertung:</w:t>
      </w:r>
      <w:r>
        <w:t xml:space="preserve"> Sicherstellt die geringste Konfliktiontensivität; allerdings verliert die Kanzlei den Markenwert des Kürzels.</w:t>
      </w:r>
    </w:p>
    <w:p>
      <w:pPr>
        <w:pStyle w:val="Heading3"/>
      </w:pPr>
      <w:r>
        <w:rPr>
          <w:rFonts w:ascii="Times New Roman" w:hAnsi="Times New Roman"/>
        </w:rPr>
        <w:t>Option B: Koexistenzvereinbarung</w:t>
      </w:r>
    </w:p>
    <w:p>
      <w:pPr>
        <w:jc w:val="left"/>
      </w:pPr>
      <w:r>
        <w:t>Verhandlung einer Koexistenzvereinbarung mit EFS Kanzlei Stuttgart: Beide Marken dürfen bestehen, geografische Beschränkung (EFS Recht nur in der Euregio Maas-Rhein, EFS Kanzlei nur in Baden-Württemberg/Bayern).</w:t>
      </w:r>
    </w:p>
    <w:p>
      <w:pPr>
        <w:jc w:val="left"/>
      </w:pPr>
      <w:r>
        <w:rPr>
          <w:b/>
        </w:rPr>
        <w:t>Bewertung:</w:t>
      </w:r>
      <w:r>
        <w:t xml:space="preserve"> Bei gutem Willen beider Seiten möglich; Stuttgarter Kanzlei betreibt keine Standorte in NRW.</w:t>
      </w:r>
    </w:p>
    <w:p>
      <w:pPr>
        <w:pStyle w:val="Heading3"/>
      </w:pPr>
      <w:r>
        <w:rPr>
          <w:rFonts w:ascii="Times New Roman" w:hAnsi="Times New Roman"/>
        </w:rPr>
        <w:t>Option C: Nichtigkeitsantrag gegen UM 018-188-466</w:t>
      </w:r>
    </w:p>
    <w:p>
      <w:pPr>
        <w:jc w:val="left"/>
      </w:pPr>
      <w:r>
        <w:t>Antrag auf Nichtigerklärung der Unionsmarke beim EUIPO (Art. 59 UMV) wegen fehlender Unterscheidungskraft ("EFS" ist deskriptiv für drei Initialen).</w:t>
      </w:r>
    </w:p>
    <w:p>
      <w:pPr>
        <w:jc w:val="left"/>
      </w:pPr>
      <w:r>
        <w:rPr>
          <w:b/>
        </w:rPr>
        <w:t>Bewertung:</w:t>
      </w:r>
      <w:r>
        <w:t xml:space="preserve"> Riskant und zeitaufwendig (12–18 Monate); Erfolgsaussicht ca. 30 %, da das EUIPO Wortzeichen aus Buchstaben grundsätzlich anerkennt.</w:t>
      </w:r>
    </w:p>
    <w:p>
      <w:pPr>
        <w:pStyle w:val="Heading3"/>
      </w:pPr>
      <w:r>
        <w:rPr>
          <w:rFonts w:ascii="Times New Roman" w:hAnsi="Times New Roman"/>
        </w:rPr>
        <w:t>Empfehlung Hellwig &amp; Partner</w:t>
      </w:r>
    </w:p>
    <w:p>
      <w:pPr>
        <w:jc w:val="left"/>
      </w:pPr>
      <w:r>
        <w:t>Option B (Koexistenzvereinbarung) als vorrangige Strategie; Option A als Rückfall, falls Stuttgart nicht verhandlungsbereit ist.</w:t>
      </w:r>
    </w:p>
    <w:p/>
    <w:p>
      <w:pPr>
        <w:pStyle w:val="Heading2"/>
      </w:pPr>
      <w:r>
        <w:rPr>
          <w:rFonts w:ascii="Times New Roman" w:hAnsi="Times New Roman"/>
        </w:rPr>
        <w:t>6. Markenamtsbescheid</w:t>
      </w:r>
    </w:p>
    <w:p>
      <w:pPr>
        <w:jc w:val="left"/>
      </w:pPr>
      <w:r>
        <w:t>Der DPMA-Amtsbescheid zur angemeldeten Marke 30 2026 123 456 steht noch aus. Eine Beanstandung wegen § 8 MarkenG (absolute Schutzhindernisse) wird nicht erwartet. Das Widerspruchsrisiko (§ 42 MarkenG) ist nach obiger Analyse erheblich.</w:t>
      </w:r>
    </w:p>
    <w:p>
      <w:pPr>
        <w:jc w:val="left"/>
      </w:pPr>
      <w:r>
        <w:rPr>
          <w:b/>
        </w:rPr>
        <w:t>Markenamtsbescheid liegt als Scan (redacted) vor:</w:t>
      </w:r>
      <w:r>
        <w:t xml:space="preserve"> </w:t>
      </w:r>
      <w:r>
        <w:t>pdfs/markenamtsbescheid_uma_efs_recht_redacted.pdf</w:t>
      </w:r>
    </w:p>
    <w:p/>
    <w:p>
      <w:pPr>
        <w:pStyle w:val="Heading2"/>
      </w:pPr>
      <w:r>
        <w:rPr>
          <w:rFonts w:ascii="Times New Roman" w:hAnsi="Times New Roman"/>
        </w:rPr>
        <w:t>Quellen</w:t>
      </w:r>
    </w:p>
    <w:p>
      <w:pPr>
        <w:pStyle w:val="ListBullet"/>
      </w:pPr>
      <w:r>
        <w:t>MarkenG § 9 (Relative Schutzhindernisse): dejure.org/gesetze/MarkenG/9</w:t>
      </w:r>
    </w:p>
    <w:p>
      <w:pPr>
        <w:pStyle w:val="ListBullet"/>
      </w:pPr>
      <w:r>
        <w:t>MarkenG § 42 (Widerspruchsverfahren): dejure.org/gesetze/MarkenG/42</w:t>
      </w:r>
    </w:p>
    <w:p>
      <w:pPr>
        <w:pStyle w:val="ListBullet"/>
      </w:pPr>
      <w:r>
        <w:t>EUIPO-Datenbank TMview: euipo.europa.eu/eSearch</w:t>
      </w:r>
    </w:p>
    <w:p>
      <w:pPr>
        <w:pStyle w:val="ListBullet"/>
      </w:pPr>
      <w:r>
        <w:t>EuGH, C-120/04 (THOMSON LIFE/Medion — Verwechslungsgefahr):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