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IT-Setup — beA, RA-Micro vs. AnNoText vs. Soldan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20. April 2026</w:t>
      </w:r>
    </w:p>
    <w:p>
      <w:pPr>
        <w:jc w:val="left"/>
      </w:pPr>
      <w:r>
        <w:rPr>
          <w:b/>
        </w:rPr>
        <w:t>Verantwortlich:</w:t>
      </w:r>
      <w:r>
        <w:t xml:space="preserve"> Dr. Matthias Friedrich (IT-Ressort)</w:t>
      </w:r>
    </w:p>
    <w:p/>
    <w:p>
      <w:pPr>
        <w:pStyle w:val="Heading2"/>
      </w:pPr>
      <w:r>
        <w:rPr>
          <w:rFonts w:ascii="Times New Roman" w:hAnsi="Times New Roman"/>
        </w:rPr>
        <w:t>1. Besonderes elektronisches Anwaltspostfach (beA)</w:t>
      </w:r>
    </w:p>
    <w:p>
      <w:pPr>
        <w:pStyle w:val="Heading3"/>
      </w:pPr>
      <w:r>
        <w:rPr>
          <w:rFonts w:ascii="Times New Roman" w:hAnsi="Times New Roman"/>
        </w:rPr>
        <w:t>Rechtliche Verpflichtung</w:t>
      </w:r>
    </w:p>
    <w:p>
      <w:pPr>
        <w:jc w:val="left"/>
      </w:pPr>
      <w:r>
        <w:t>Seit dem 01. Januar 2022 besteht die aktive Nutzungspflicht für das besondere elektronische Anwaltspostfach (beA) gemäß § 31a BRAO. Jede in Deutschland zugelassene Rechtsanwältin und jeder Rechtsanwalt ist verpflichtet, beA-Nachrichten entgegenzunehmen. Seit dem 01. Januar 2022 ist die aktive Nutzungspflicht in Kraft.</w:t>
      </w:r>
    </w:p>
    <w:p>
      <w:pPr>
        <w:jc w:val="left"/>
      </w:pPr>
      <w:r>
        <w:t>Die EFS-GmbH hat als Rechtsanwaltsgesellschaft mbH ein eigenes Gesellschafts-beA (§ 31b BRAO), zusätzlich zu den persönlichen beA der drei Geschäftsführer.</w:t>
      </w:r>
    </w:p>
    <w:p>
      <w:pPr>
        <w:pStyle w:val="Heading3"/>
      </w:pPr>
      <w:r>
        <w:rPr>
          <w:rFonts w:ascii="Times New Roman" w:hAnsi="Times New Roman"/>
        </w:rPr>
        <w:t>beA-Infrastruktur für EFS-GmbH</w:t>
      </w:r>
    </w:p>
    <w:p>
      <w:pPr>
        <w:pStyle w:val="ListBullet"/>
      </w:pPr>
      <w:r>
        <w:rPr>
          <w:b/>
        </w:rPr>
        <w:t>Gesellschafts-beA:</w:t>
      </w:r>
      <w:r>
        <w:t xml:space="preserve"> Eingerichtet nach RAK-Zulassung (Az. RAC-GmbH-00043); Postfachkennung EFS-Rechtsanwaltsgesellschaft-mbH-00043</w:t>
      </w:r>
    </w:p>
    <w:p>
      <w:pPr>
        <w:pStyle w:val="ListBullet"/>
      </w:pPr>
      <w:r>
        <w:rPr>
          <w:b/>
        </w:rPr>
        <w:t>Persönliche beA:</w:t>
      </w:r>
    </w:p>
    <w:p>
      <w:pPr>
        <w:pStyle w:val="ListBullet"/>
      </w:pPr>
      <w:r>
        <w:t>Dr. Eckermann: bereits aktiv (seit 2022)</w:t>
      </w:r>
    </w:p>
    <w:p>
      <w:pPr>
        <w:pStyle w:val="ListBullet"/>
      </w:pPr>
      <w:r>
        <w:t>Dr. Friedrich: bereits aktiv (seit 2022)</w:t>
      </w:r>
    </w:p>
    <w:p>
      <w:pPr>
        <w:pStyle w:val="ListBullet"/>
      </w:pPr>
      <w:r>
        <w:t>Dr. Sandhof: bereits aktiv (seit 2022)</w:t>
      </w:r>
    </w:p>
    <w:p>
      <w:pPr>
        <w:pStyle w:val="ListBullet"/>
      </w:pPr>
      <w:r>
        <w:rPr>
          <w:b/>
        </w:rPr>
        <w:t>Technische Infrastruktur:</w:t>
      </w:r>
      <w:r>
        <w:t xml:space="preserve"> beA-Client auf allen Anwaltrechner-Arbeitsplätzen (PC/Mac); Zugang über beA-Karte oder Software-Zertifikat (BRAK)</w:t>
      </w:r>
    </w:p>
    <w:p>
      <w:pPr>
        <w:pStyle w:val="ListBullet"/>
      </w:pPr>
      <w:r>
        <w:rPr>
          <w:b/>
        </w:rPr>
        <w:t>Schulung Mitarbeiter:</w:t>
      </w:r>
      <w:r>
        <w:t xml:space="preserve"> beA-Grundschulung für alle 12 Mitarbeiter am 25.04.2026 (externer Trainer: Herr Klaus Bergmann, beA-Schulungsanbieter Köln)</w:t>
      </w:r>
    </w:p>
    <w:p/>
    <w:p>
      <w:pPr>
        <w:pStyle w:val="Heading2"/>
      </w:pPr>
      <w:r>
        <w:rPr>
          <w:rFonts w:ascii="Times New Roman" w:hAnsi="Times New Roman"/>
        </w:rPr>
        <w:t>2. Kanzleisoftware — Marktanalyse</w:t>
      </w:r>
    </w:p>
    <w:p>
      <w:pPr>
        <w:pStyle w:val="Heading3"/>
      </w:pPr>
      <w:r>
        <w:rPr>
          <w:rFonts w:ascii="Times New Roman" w:hAnsi="Times New Roman"/>
        </w:rPr>
        <w:t>Überblick Anbieter</w:t>
      </w:r>
    </w:p>
    <w:p>
      <w:pPr>
        <w:jc w:val="left"/>
      </w:pPr>
      <w:r>
        <w:t>Für die Kanzleiverwaltung (Aktenführung, Fristen, Abrechnung, beA-Integration) wurden drei Produkte evaluiert: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RA-Micro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AnNoText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Soldan (winMACS)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Marktanteil Deutschland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~40 %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~25 %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~15 %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Preis (pro Anwalt/Monat)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220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185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160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beA-Integration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Cloud-Option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(Server)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(SaaS)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Hybrid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Mobilzugang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App (begrenzt)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Browser-basiert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Sozialrecht-Modul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Steuerrecht-Modul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Arbeitsrecht-Modul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Support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24/5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8/5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8/5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Migrationshilfe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Begrenzt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RA-Micro</w:t>
      </w:r>
    </w:p>
    <w:p>
      <w:pPr>
        <w:jc w:val="left"/>
      </w:pPr>
      <w:r>
        <w:t>RA-Micro (Anbieter: RA-Micro Software AG, Berlin) ist der führende Anbieter für Kanzleisoftware in Deutschland. Die Software ist als lokale Installation konzipiert, mit einem eigenen RA-Micro-Server. Die Datenhaltung verbleibt lokal (datenschutzrechtlich vorteilhaft bei Anwaltsakten).</w:t>
      </w:r>
    </w:p>
    <w:p>
      <w:pPr>
        <w:jc w:val="left"/>
      </w:pPr>
      <w:r>
        <w:rPr>
          <w:b/>
        </w:rPr>
        <w:t>Nachteil:</w:t>
      </w:r>
      <w:r>
        <w:t xml:space="preserve"> Hoher initialer Einrichtungsaufwand; keine echte Cloud-Option; Server-Hardware erforderlich.</w:t>
      </w:r>
    </w:p>
    <w:p>
      <w:pPr>
        <w:pStyle w:val="Heading3"/>
      </w:pPr>
      <w:r>
        <w:rPr>
          <w:rFonts w:ascii="Times New Roman" w:hAnsi="Times New Roman"/>
        </w:rPr>
        <w:t>AnNoText</w:t>
      </w:r>
    </w:p>
    <w:p>
      <w:pPr>
        <w:jc w:val="left"/>
      </w:pPr>
      <w:r>
        <w:t>AnNoText (Anbieter: Wolters Kluwer Deutschland) bietet eine cloud-basierte Kanzleilösung mit gutem beA-Workflow. Die SaaS-Variante ermöglicht standortunabhängigen Zugriff.</w:t>
      </w:r>
    </w:p>
    <w:p>
      <w:pPr>
        <w:jc w:val="left"/>
      </w:pPr>
      <w:r>
        <w:rPr>
          <w:b/>
        </w:rPr>
        <w:t>Bedenken:</w:t>
      </w:r>
      <w:r>
        <w:t xml:space="preserve"> Wolters Kluwer hostet Daten auf EU-Servern (Amsterdam). Datenschutzrechtlich zu prüfen (AVV nach Art. 28 DSGVO nötig).</w:t>
      </w:r>
    </w:p>
    <w:p>
      <w:pPr>
        <w:pStyle w:val="Heading3"/>
      </w:pPr>
      <w:r>
        <w:rPr>
          <w:rFonts w:ascii="Times New Roman" w:hAnsi="Times New Roman"/>
        </w:rPr>
        <w:t>Soldan / winMACS</w:t>
      </w:r>
    </w:p>
    <w:p>
      <w:pPr>
        <w:jc w:val="left"/>
      </w:pPr>
      <w:r>
        <w:t>winMACS (Soldan GmbH) ist preislich günstig, hat aber schwächere Fachmodule für Sozialrecht und Steuerrecht.</w:t>
      </w:r>
    </w:p>
    <w:p/>
    <w:p>
      <w:pPr>
        <w:pStyle w:val="Heading2"/>
      </w:pPr>
      <w:r>
        <w:rPr>
          <w:rFonts w:ascii="Times New Roman" w:hAnsi="Times New Roman"/>
        </w:rPr>
        <w:t>3. Entscheidung</w:t>
      </w:r>
    </w:p>
    <w:p>
      <w:pPr>
        <w:jc w:val="left"/>
      </w:pPr>
      <w:r>
        <w:t>Ergebnis Evaluation und Partnerabstimmung (18.04.2026):</w:t>
      </w:r>
    </w:p>
    <w:p>
      <w:pPr>
        <w:jc w:val="left"/>
      </w:pPr>
      <w:r>
        <w:rPr>
          <w:b/>
        </w:rPr>
        <w:t>Entscheidung für RA-Micro</w:t>
      </w:r>
      <w:r>
        <w:t xml:space="preserve"> als primäre Kanzleisoftware.</w:t>
      </w:r>
    </w:p>
    <w:p>
      <w:pPr>
        <w:jc w:val="left"/>
      </w:pPr>
      <w:r>
        <w:t>Begründung:</w:t>
      </w:r>
    </w:p>
    <w:p>
      <w:pPr>
        <w:pStyle w:val="ListNumber"/>
      </w:pPr>
      <w:r>
        <w:t>Dr. Eckermann und Dr. Friedrich nutzen RA-Micro bereits in ihren Vorgängerkanzleien — Datenmigration einfacher.</w:t>
      </w:r>
    </w:p>
    <w:p>
      <w:pPr>
        <w:pStyle w:val="ListNumber"/>
      </w:pPr>
      <w:r>
        <w:t>Starkes Sozialrecht-Modul (wichtig für Eckermannsche Mandate).</w:t>
      </w:r>
    </w:p>
    <w:p>
      <w:pPr>
        <w:pStyle w:val="ListNumber"/>
      </w:pPr>
      <w:r>
        <w:t>Lokale Datenhaltung stärkt DSGVO-Compliance.</w:t>
      </w:r>
    </w:p>
    <w:p>
      <w:pPr>
        <w:pStyle w:val="ListNumber"/>
      </w:pPr>
      <w:r>
        <w:t>RA-Micro bietet eine Migration aus AnNoText und anderen Systemen für Sandhofs Daten an.</w:t>
      </w:r>
    </w:p>
    <w:p>
      <w:pPr>
        <w:jc w:val="left"/>
      </w:pPr>
      <w:r>
        <w:rPr>
          <w:b/>
        </w:rPr>
        <w:t>Lizenzmodell:</w:t>
      </w:r>
      <w:r>
        <w:t xml:space="preserve"> RA-Micro Netzwerklizenz für bis zu 20 Arbeitsplätze, Jahresgebühr 42.000 EUR (netto). Inkl. Support und Updates.</w:t>
      </w:r>
    </w:p>
    <w:p/>
    <w:p>
      <w:pPr>
        <w:pStyle w:val="Heading2"/>
      </w:pPr>
      <w:r>
        <w:rPr>
          <w:rFonts w:ascii="Times New Roman" w:hAnsi="Times New Roman"/>
        </w:rPr>
        <w:t>4. IT-Infrastruktur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Komponente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Spezifikation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Lieferant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Server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Dell PowerEdge T550 (32 GB RAM, RAID 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Dell Deutschland GmbH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Arbeitsplätze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 × Lenovo ThinkCentre M90n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Lenovo Deutschland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Notebooks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× Lenovo ThinkPad X1 Carbon (Partner)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Lenovo Deutschland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Netzwerk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Cisco-Switch, VLAN-Segmentierung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Netzwerktechnik Bergs GmbH, Aachen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Glasfaser 500/200 Mbit (Telekom)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Telekom Deutschland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Backup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Tägliches Backup auf externer NAS + Cloud (Veeam)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IT-Dienstleister SecureData GmbH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Firewall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Sophos XGS 107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IT-Dienstleister SecureData GmbH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beA-Smartcard-Reader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 × SCR3310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BRAK-Lieferant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IT-Sicherheit und DSGVO</w:t>
      </w:r>
    </w:p>
    <w:p>
      <w:pPr>
        <w:pStyle w:val="ListBullet"/>
      </w:pPr>
      <w:r>
        <w:rPr>
          <w:b/>
        </w:rPr>
        <w:t>Datenschutzbeauftragter (DSB):</w:t>
      </w:r>
      <w:r>
        <w:t xml:space="preserve"> externer DSB, Firma SecureData GmbH Aachen (Vertrag gemäß Art. 37 DSGVO)</w:t>
      </w:r>
    </w:p>
    <w:p>
      <w:pPr>
        <w:pStyle w:val="ListBullet"/>
      </w:pPr>
      <w:r>
        <w:rPr>
          <w:b/>
        </w:rPr>
        <w:t>Verschlüsselung:</w:t>
      </w:r>
      <w:r>
        <w:t xml:space="preserve"> Alle Mandantendaten verschlüsselt (AES-256) auf Server und Backup</w:t>
      </w:r>
    </w:p>
    <w:p>
      <w:pPr>
        <w:pStyle w:val="ListBullet"/>
      </w:pPr>
      <w:r>
        <w:rPr>
          <w:b/>
        </w:rPr>
        <w:t>Zugriffskonzept:</w:t>
      </w:r>
      <w:r>
        <w:t xml:space="preserve"> Rollenbasiertes Berechtigungskonzept — Anwälte sehen nur eigene Akte (ggf. Partner-Freigabe)</w:t>
      </w:r>
    </w:p>
    <w:p>
      <w:pPr>
        <w:pStyle w:val="ListBullet"/>
      </w:pPr>
      <w:r>
        <w:rPr>
          <w:b/>
        </w:rPr>
        <w:t>Passwort-Policy:</w:t>
      </w:r>
      <w:r>
        <w:t xml:space="preserve"> Mindestlänge 14 Zeichen, MFA für alle beA- und Remote-Zugänge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BRAO § 31a (beA Pflicht): dejure.org/gesetze/BRAO/31a</w:t>
      </w:r>
    </w:p>
    <w:p>
      <w:pPr>
        <w:pStyle w:val="ListBullet"/>
      </w:pPr>
      <w:r>
        <w:t>BRAO § 31b (Gesellschafts-beA): dejure.org/gesetze/BRAO/31b</w:t>
      </w:r>
    </w:p>
    <w:p>
      <w:pPr>
        <w:pStyle w:val="ListBullet"/>
      </w:pPr>
      <w:r>
        <w:t>DSGVO Art. 28 (Auftragsverarbeitung): dejure.org/gesetze/DSGVO/28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