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14 Marketing und Corporate Design — EFS Recht</w:t>
      </w:r>
    </w:p>
    <w:p>
      <w:pPr>
        <w:jc w:val="left"/>
      </w:pPr>
      <w:r>
        <w:rPr>
          <w:b/>
        </w:rPr>
        <w:t>Aktenzeichen:</w:t>
      </w:r>
      <w:r>
        <w:t xml:space="preserve"> KBH-2026-001-EFS</w:t>
      </w:r>
    </w:p>
    <w:p>
      <w:pPr>
        <w:jc w:val="left"/>
      </w:pPr>
      <w:r>
        <w:rPr>
          <w:b/>
        </w:rPr>
        <w:t>Stand:</w:t>
      </w:r>
      <w:r>
        <w:t xml:space="preserve"> 25. April 2026</w:t>
      </w:r>
    </w:p>
    <w:p>
      <w:pPr>
        <w:jc w:val="left"/>
      </w:pPr>
      <w:r>
        <w:rPr>
          <w:b/>
        </w:rPr>
        <w:t>Verantwortlich:</w:t>
      </w:r>
      <w:r>
        <w:t xml:space="preserve"> Dr. Hilke Eckermann (Personal/Marketing-Ressort)</w:t>
      </w:r>
    </w:p>
    <w:p/>
    <w:p>
      <w:pPr>
        <w:pStyle w:val="Heading2"/>
      </w:pPr>
      <w:r>
        <w:rPr>
          <w:rFonts w:ascii="Times New Roman" w:hAnsi="Times New Roman"/>
        </w:rPr>
        <w:t>1. Markenidentität und Positionierung</w:t>
      </w:r>
    </w:p>
    <w:p>
      <w:pPr>
        <w:jc w:val="left"/>
      </w:pPr>
      <w:r>
        <w:t xml:space="preserve">Die EFS Rechtsanwaltsgesellschaft mbH positioniert sich als </w:t>
      </w:r>
      <w:r>
        <w:rPr>
          <w:b/>
        </w:rPr>
        <w:t>spezialisierte Drei-Säulen-Kanzlei</w:t>
      </w:r>
      <w:r>
        <w:t xml:space="preserve"> im Bereich Sozialrecht, Arbeitsrecht und Steuerrecht. Das Alleinstellungsmerkmal (USP) ist die integrierte Beratung in allen drei Bereichen — relevant z.B. für:</w:t>
      </w:r>
    </w:p>
    <w:p>
      <w:pPr>
        <w:pStyle w:val="ListBullet"/>
      </w:pPr>
      <w:r>
        <w:t>Unternehmen mit Arbeitnehmer-Sozialversicherungsfragen (Friedrich + Eckermann)</w:t>
      </w:r>
    </w:p>
    <w:p>
      <w:pPr>
        <w:pStyle w:val="ListBullet"/>
      </w:pPr>
      <w:r>
        <w:t>Freiberufler und GmbH-Geschäftsführer mit Steuer- und Sozialrechtsfragen (Sandhof + Eckermann)</w:t>
      </w:r>
    </w:p>
    <w:p>
      <w:pPr>
        <w:pStyle w:val="ListBullet"/>
      </w:pPr>
      <w:r>
        <w:t>Betriebe bei Betriebsrenten, bAV, Sozialplangestaltung (Friedrich + Sandhof)</w:t>
      </w:r>
    </w:p>
    <w:p>
      <w:pPr>
        <w:jc w:val="left"/>
      </w:pPr>
      <w:r>
        <w:rPr>
          <w:b/>
        </w:rPr>
        <w:t>Slogan (intern, noch nicht final):</w:t>
      </w:r>
      <w:r>
        <w:t xml:space="preserve"> "Drei Spezialgebiete. Ein Team. Ihr Recht."</w:t>
      </w:r>
    </w:p>
    <w:p/>
    <w:p>
      <w:pPr>
        <w:pStyle w:val="Heading2"/>
      </w:pPr>
      <w:r>
        <w:rPr>
          <w:rFonts w:ascii="Times New Roman" w:hAnsi="Times New Roman"/>
        </w:rPr>
        <w:t>2. Corporate Design</w:t>
      </w:r>
    </w:p>
    <w:p>
      <w:pPr>
        <w:jc w:val="left"/>
      </w:pPr>
      <w:r>
        <w:t xml:space="preserve">Das Corporate Design wurde von der Agentur </w:t>
      </w:r>
      <w:r>
        <w:rPr>
          <w:b/>
        </w:rPr>
        <w:t>Worte &amp; Form Designbüro</w:t>
      </w:r>
      <w:r>
        <w:t xml:space="preserve"> (Aachen, 3 Personen) entwickelt. Budget: 8.500 EUR netto (Briefing bis Finalabnahme).</w:t>
      </w:r>
    </w:p>
    <w:p>
      <w:pPr>
        <w:pStyle w:val="Heading3"/>
      </w:pPr>
      <w:r>
        <w:rPr>
          <w:rFonts w:ascii="Times New Roman" w:hAnsi="Times New Roman"/>
        </w:rPr>
        <w:t>Farbwelt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Farbe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HEX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Einsatz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Anthrazit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#2D2D2D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Primärfarbe, Texte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Goldgelb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#C9A84C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Akzentfarbe, Logo-Detail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Hellgrau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#F4F4F2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Hintergründe, Formulare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Weiß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#FFFFFF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Primärhintergrund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Typografie</w:t>
      </w:r>
    </w:p>
    <w:p>
      <w:pPr>
        <w:pStyle w:val="ListBullet"/>
      </w:pPr>
      <w:r>
        <w:rPr>
          <w:b/>
        </w:rPr>
        <w:t>Überschriften:</w:t>
      </w:r>
      <w:r>
        <w:t xml:space="preserve"> Cormorant Garamond (Serif, vertrauenswürdig, klassisch)</w:t>
      </w:r>
    </w:p>
    <w:p>
      <w:pPr>
        <w:pStyle w:val="ListBullet"/>
      </w:pPr>
      <w:r>
        <w:rPr>
          <w:b/>
        </w:rPr>
        <w:t>Fließtext und UI:</w:t>
      </w:r>
      <w:r>
        <w:t xml:space="preserve"> Inter (Sans-Serif, modern, lesbar)</w:t>
      </w:r>
    </w:p>
    <w:p>
      <w:pPr>
        <w:pStyle w:val="ListBullet"/>
      </w:pPr>
      <w:r>
        <w:rPr>
          <w:b/>
        </w:rPr>
        <w:t>Monospace (Aktenzeichen, Zitate):</w:t>
      </w:r>
      <w:r>
        <w:t xml:space="preserve"> JetBrains Mono</w:t>
      </w:r>
    </w:p>
    <w:p>
      <w:pPr>
        <w:pStyle w:val="Heading3"/>
      </w:pPr>
      <w:r>
        <w:rPr>
          <w:rFonts w:ascii="Times New Roman" w:hAnsi="Times New Roman"/>
        </w:rPr>
        <w:t>Logo</w:t>
      </w:r>
    </w:p>
    <w:p>
      <w:pPr>
        <w:jc w:val="left"/>
      </w:pPr>
      <w:r>
        <w:t>Das Logo zeigt die drei Buchstaben "EFS" in Anthrazit, unterstützt durch eine filigrane goldgelbe Linie. Dazu der Schriftzug "Rechtsanwaltsgesellschaft mbH — Aachen". Das Logo liegt in SVG, PNG und EPS vor.</w:t>
      </w:r>
    </w:p>
    <w:p>
      <w:pPr>
        <w:jc w:val="left"/>
      </w:pPr>
      <w:r>
        <w:rPr>
          <w:b/>
        </w:rPr>
        <w:t>Logovorschau:</w:t>
      </w:r>
      <w:r>
        <w:t xml:space="preserve"> </w:t>
      </w:r>
      <w:r>
        <w:t>jpg/corporate_design_efs_logo.jpg</w:t>
      </w:r>
    </w:p>
    <w:p/>
    <w:p>
      <w:pPr>
        <w:pStyle w:val="Heading2"/>
      </w:pPr>
      <w:r>
        <w:rPr>
          <w:rFonts w:ascii="Times New Roman" w:hAnsi="Times New Roman"/>
        </w:rPr>
        <w:t>3. Websiteplanung</w:t>
      </w:r>
    </w:p>
    <w:p>
      <w:pPr>
        <w:jc w:val="left"/>
      </w:pPr>
      <w:r>
        <w:t>Die Website der EFS-GmbH soll zum 01. Mai 2026 online gehen.</w:t>
      </w:r>
    </w:p>
    <w:p>
      <w:pPr>
        <w:pStyle w:val="Heading3"/>
      </w:pPr>
      <w:r>
        <w:rPr>
          <w:rFonts w:ascii="Times New Roman" w:hAnsi="Times New Roman"/>
        </w:rPr>
        <w:t>Technologie</w:t>
      </w:r>
    </w:p>
    <w:p>
      <w:pPr>
        <w:pStyle w:val="ListBullet"/>
      </w:pPr>
      <w:r>
        <w:rPr>
          <w:b/>
        </w:rPr>
        <w:t>CMS:</w:t>
      </w:r>
      <w:r>
        <w:t xml:space="preserve"> WordPress mit Elementor Pro</w:t>
      </w:r>
    </w:p>
    <w:p>
      <w:pPr>
        <w:pStyle w:val="ListBullet"/>
      </w:pPr>
      <w:r>
        <w:rPr>
          <w:b/>
        </w:rPr>
        <w:t>Hosting:</w:t>
      </w:r>
      <w:r>
        <w:t xml:space="preserve"> Hetzner Cloud (Deutschland, Rechenzentrum Nürnberg) — Datenschutz im deutschen/EU-Rechtsraum</w:t>
      </w:r>
    </w:p>
    <w:p>
      <w:pPr>
        <w:pStyle w:val="ListBullet"/>
      </w:pPr>
      <w:r>
        <w:rPr>
          <w:b/>
        </w:rPr>
        <w:t>Primär-Domain:</w:t>
      </w:r>
      <w:r>
        <w:t xml:space="preserve"> efs-rechtsanwaltsgesellschaft.de (Fallback bis Domain-Dispute-Klärung)</w:t>
      </w:r>
    </w:p>
    <w:p>
      <w:pPr>
        <w:pStyle w:val="ListBullet"/>
      </w:pPr>
      <w:r>
        <w:rPr>
          <w:b/>
        </w:rPr>
        <w:t>SSL:</w:t>
      </w:r>
      <w:r>
        <w:t xml:space="preserve"> Let's Encrypt A+</w:t>
      </w:r>
    </w:p>
    <w:p>
      <w:pPr>
        <w:pStyle w:val="ListBullet"/>
      </w:pPr>
      <w:r>
        <w:rPr>
          <w:b/>
        </w:rPr>
        <w:t>Impressum:</w:t>
      </w:r>
      <w:r>
        <w:t xml:space="preserve"> § 5 TMG-konformes Impressum; verantwortlicher Redakteur: Dr. Friedrich</w:t>
      </w:r>
    </w:p>
    <w:p>
      <w:pPr>
        <w:pStyle w:val="Heading3"/>
      </w:pPr>
      <w:r>
        <w:rPr>
          <w:rFonts w:ascii="Times New Roman" w:hAnsi="Times New Roman"/>
        </w:rPr>
        <w:t>Inhalte</w:t>
      </w:r>
    </w:p>
    <w:p>
      <w:pPr>
        <w:pStyle w:val="ListBullet"/>
      </w:pPr>
      <w:r>
        <w:t>Startseite mit Kanzleiprofil und USP</w:t>
      </w:r>
    </w:p>
    <w:p>
      <w:pPr>
        <w:pStyle w:val="ListBullet"/>
      </w:pPr>
      <w:r>
        <w:t>Partnerprofile (Eckermann, Friedrich, Sandhof) mit Vita und Fachgebieten</w:t>
      </w:r>
    </w:p>
    <w:p>
      <w:pPr>
        <w:pStyle w:val="ListBullet"/>
      </w:pPr>
      <w:r>
        <w:t>Drei Fachbereichsseiten (Sozialrecht, Arbeitsrecht, Steuerrecht) mit je 10 Fachbeiträgen zum Launch</w:t>
      </w:r>
    </w:p>
    <w:p>
      <w:pPr>
        <w:pStyle w:val="ListBullet"/>
      </w:pPr>
      <w:r>
        <w:t>Kontaktformular (DSGVO-konform, Einwilligungsbox)</w:t>
      </w:r>
    </w:p>
    <w:p>
      <w:pPr>
        <w:pStyle w:val="ListBullet"/>
      </w:pPr>
      <w:r>
        <w:t>Karriere-Seite (Stellenausschreibungen)</w:t>
      </w:r>
    </w:p>
    <w:p>
      <w:pPr>
        <w:pStyle w:val="ListBullet"/>
      </w:pPr>
      <w:r>
        <w:t>Aktuelles/Blog (Rechtshinweis, kein Rechtsrat)</w:t>
      </w:r>
    </w:p>
    <w:p>
      <w:pPr>
        <w:pStyle w:val="Heading3"/>
      </w:pPr>
      <w:r>
        <w:rPr>
          <w:rFonts w:ascii="Times New Roman" w:hAnsi="Times New Roman"/>
        </w:rPr>
        <w:t>Cookie-Management</w:t>
      </w:r>
    </w:p>
    <w:p>
      <w:pPr>
        <w:jc w:val="left"/>
      </w:pPr>
      <w:r>
        <w:t>Einbindung eines konformen Cookie-Consent-Banners (Usercentrics). Keine Drittanbieter-Cookies ohne Einwilligung.</w:t>
      </w:r>
    </w:p>
    <w:p/>
    <w:p>
      <w:pPr>
        <w:pStyle w:val="Heading2"/>
      </w:pPr>
      <w:r>
        <w:rPr>
          <w:rFonts w:ascii="Times New Roman" w:hAnsi="Times New Roman"/>
        </w:rPr>
        <w:t>4. Kanzlei-Kommunikation</w:t>
      </w:r>
    </w:p>
    <w:p>
      <w:pPr>
        <w:pStyle w:val="Heading3"/>
      </w:pPr>
      <w:r>
        <w:rPr>
          <w:rFonts w:ascii="Times New Roman" w:hAnsi="Times New Roman"/>
        </w:rPr>
        <w:t>Briefkopf</w:t>
      </w:r>
    </w:p>
    <w:p>
      <w:pPr>
        <w:pStyle w:val="ListBullet"/>
      </w:pPr>
      <w:r>
        <w:t>EFS Logo (links oben)</w:t>
      </w:r>
    </w:p>
    <w:p>
      <w:pPr>
        <w:pStyle w:val="ListBullet"/>
      </w:pPr>
      <w:r>
        <w:t>Vollständige Firma: Eckermann Friedrich Sandhof Rechtsanwaltsgesellschaft mbH</w:t>
      </w:r>
    </w:p>
    <w:p>
      <w:pPr>
        <w:pStyle w:val="ListBullet"/>
      </w:pPr>
      <w:r>
        <w:t>Pontstraße 88, 52062 Aachen</w:t>
      </w:r>
    </w:p>
    <w:p>
      <w:pPr>
        <w:pStyle w:val="ListBullet"/>
      </w:pPr>
      <w:r>
        <w:t>Telefon, Fax, E-Mail, Website</w:t>
      </w:r>
    </w:p>
    <w:p>
      <w:pPr>
        <w:pStyle w:val="ListBullet"/>
      </w:pPr>
      <w:r>
        <w:t>Bankverbindung (Sparkasse Aachen, IBAN DE22 3905 0000...)</w:t>
      </w:r>
    </w:p>
    <w:p>
      <w:pPr>
        <w:pStyle w:val="ListBullet"/>
      </w:pPr>
      <w:r>
        <w:t>HRB Nummer (Amtsgericht Aachen, HRB 28877)</w:t>
      </w:r>
    </w:p>
    <w:p>
      <w:pPr>
        <w:pStyle w:val="ListBullet"/>
      </w:pPr>
      <w:r>
        <w:t>USt-IdNr.: DE 3XX XXX XXX</w:t>
      </w:r>
    </w:p>
    <w:p>
      <w:pPr>
        <w:pStyle w:val="ListBullet"/>
      </w:pPr>
      <w:r>
        <w:t>Verantwortliche RA nach BRAO: alle drei GF mit Zulassungskammer RAK Aachen</w:t>
      </w:r>
    </w:p>
    <w:p>
      <w:pPr>
        <w:pStyle w:val="Heading3"/>
      </w:pPr>
      <w:r>
        <w:rPr>
          <w:rFonts w:ascii="Times New Roman" w:hAnsi="Times New Roman"/>
        </w:rPr>
        <w:t>E-Mail-System</w:t>
      </w:r>
    </w:p>
    <w:p>
      <w:pPr>
        <w:pStyle w:val="ListBullet"/>
      </w:pPr>
      <w:r>
        <w:t>Domain: @efs-recht.de (Interim: @efs-rechtsanwaltsgesellschaft.de)</w:t>
      </w:r>
    </w:p>
    <w:p>
      <w:pPr>
        <w:pStyle w:val="ListBullet"/>
      </w:pPr>
      <w:r>
        <w:t>Adressen: h.eckermann@, m.friedrich@, v.sandhof@, kanzlei@</w:t>
      </w:r>
    </w:p>
    <w:p>
      <w:pPr>
        <w:pStyle w:val="ListBullet"/>
      </w:pPr>
      <w:r>
        <w:t>E-Mail-Signatur: automatisch generiert (enthält Pflichtangaben nach § 37b BRAO)</w:t>
      </w:r>
    </w:p>
    <w:p>
      <w:pPr>
        <w:pStyle w:val="Heading3"/>
      </w:pPr>
      <w:r>
        <w:rPr>
          <w:rFonts w:ascii="Times New Roman" w:hAnsi="Times New Roman"/>
        </w:rPr>
        <w:t>Social Media</w:t>
      </w:r>
    </w:p>
    <w:p>
      <w:pPr>
        <w:pStyle w:val="ListBullet"/>
      </w:pPr>
      <w:r>
        <w:t>LinkedIn-Unternehmensseite eingerichtet</w:t>
      </w:r>
    </w:p>
    <w:p>
      <w:pPr>
        <w:pStyle w:val="ListBullet"/>
      </w:pPr>
      <w:r>
        <w:t>Kein Facebook/Twitter — Ressourcengründe und Zielgruppe B2B</w:t>
      </w:r>
    </w:p>
    <w:p>
      <w:pPr>
        <w:pStyle w:val="ListBullet"/>
      </w:pPr>
      <w:r>
        <w:t>XING-Unternehmenseintrag (automatisch durch Partnerprofile)</w:t>
      </w:r>
    </w:p>
    <w:p/>
    <w:p>
      <w:pPr>
        <w:pStyle w:val="Heading2"/>
      </w:pPr>
      <w:r>
        <w:rPr>
          <w:rFonts w:ascii="Times New Roman" w:hAnsi="Times New Roman"/>
        </w:rPr>
        <w:t>5. Eröffnungsevent</w:t>
      </w:r>
    </w:p>
    <w:p>
      <w:pPr>
        <w:jc w:val="left"/>
      </w:pPr>
      <w:r>
        <w:t xml:space="preserve">Am </w:t>
      </w:r>
      <w:r>
        <w:rPr>
          <w:b/>
        </w:rPr>
        <w:t>01. Mai 2026</w:t>
      </w:r>
      <w:r>
        <w:t xml:space="preserve"> findet ein Eröffnungsempfang in der Kanzlei statt. Eingeladen: ca. 80 Gäste (Mandanten, RAK-Vertreter, Notare, Steuerberater, Richter, Pressevertreter). Catering: Café Metropol Aachen. Lokalpresse eingeladen: Aachener Zeitung, Aachener Nachrichten.</w:t>
      </w:r>
    </w:p>
    <w:p>
      <w:pPr>
        <w:jc w:val="left"/>
      </w:pPr>
      <w:r>
        <w:rPr>
          <w:b/>
        </w:rPr>
        <w:t>Pressemitteilung:</w:t>
      </w:r>
      <w:r>
        <w:t xml:space="preserve"> in Vorbereitung; Freigabe durch alle drei Partner erforderlich.</w:t>
      </w:r>
    </w:p>
    <w:p/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TMG § 5 (Impressumspflicht): dejure.org/gesetze/TMG</w:t>
      </w:r>
    </w:p>
    <w:p>
      <w:pPr>
        <w:pStyle w:val="ListBullet"/>
      </w:pPr>
      <w:r>
        <w:t>BRAO § 37b (Angaben auf Schriftverkehr): dejure.org/gesetze/BRAO/37b</w:t>
      </w:r>
    </w:p>
    <w:p>
      <w:pPr>
        <w:pStyle w:val="ListBullet"/>
      </w:pPr>
      <w:r>
        <w:t>DSGVO Art. 7 (Einwilligung): dejure.org/gesetze/DSGVO/7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