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Geldwäsche-Prävention — AML/GwG-Setup</w:t>
      </w:r>
    </w:p>
    <w:p>
      <w:pPr>
        <w:jc w:val="left"/>
      </w:pPr>
      <w:r>
        <w:rPr>
          <w:b/>
        </w:rPr>
        <w:t>Aktenzeichen:</w:t>
      </w:r>
      <w:r>
        <w:t xml:space="preserve"> KBH-2026-001-EFS</w:t>
      </w:r>
    </w:p>
    <w:p>
      <w:pPr>
        <w:jc w:val="left"/>
      </w:pPr>
      <w:r>
        <w:rPr>
          <w:b/>
        </w:rPr>
        <w:t>Stand:</w:t>
      </w:r>
      <w:r>
        <w:t xml:space="preserve"> 26. April 2026</w:t>
      </w:r>
    </w:p>
    <w:p>
      <w:pPr>
        <w:jc w:val="left"/>
      </w:pPr>
      <w:r>
        <w:rPr>
          <w:b/>
        </w:rPr>
        <w:t>Verantwortlich:</w:t>
      </w:r>
      <w:r>
        <w:t xml:space="preserve"> Dr. Volker Sandhof (GwG-Beauftragter)</w:t>
      </w:r>
    </w:p>
    <w:p/>
    <w:p>
      <w:pPr>
        <w:pStyle w:val="Heading2"/>
      </w:pPr>
      <w:r>
        <w:rPr>
          <w:rFonts w:ascii="Times New Roman" w:hAnsi="Times New Roman"/>
        </w:rPr>
        <w:t>1. Gesetzliche Grundlagen</w:t>
      </w:r>
    </w:p>
    <w:p>
      <w:pPr>
        <w:jc w:val="left"/>
      </w:pPr>
      <w:r>
        <w:t>Das Geldwäschegesetz (GwG) gilt gemäß § 2 Abs. 1 Nr. 10 GwG ausdrücklich für Rechtsanwälte, soweit diese an der Planung oder Durchführung bestimmter Transaktionen mitwirken oder den Mandanten bei der Planung oder Durchführung solcher Transaktionen beraten. Erfasst sind insbesondere:</w:t>
      </w:r>
    </w:p>
    <w:p>
      <w:pPr>
        <w:pStyle w:val="ListBullet"/>
      </w:pPr>
      <w:r>
        <w:t>Kauf und Verkauf von Immobilien</w:t>
      </w:r>
    </w:p>
    <w:p>
      <w:pPr>
        <w:pStyle w:val="ListBullet"/>
      </w:pPr>
      <w:r>
        <w:t>Verwaltung von Geldern, Wertpapieren oder sonstigen Vermögenswerten des Mandanten</w:t>
      </w:r>
    </w:p>
    <w:p>
      <w:pPr>
        <w:pStyle w:val="ListBullet"/>
      </w:pPr>
      <w:r>
        <w:t>Eröffnung und Verwaltung von Bank-, Spar- oder Wertpapierkonten</w:t>
      </w:r>
    </w:p>
    <w:p>
      <w:pPr>
        <w:pStyle w:val="ListBullet"/>
      </w:pPr>
      <w:r>
        <w:t>Einwerbung und Durchführung der Organisation von Gesellschaftsbeiträgen</w:t>
      </w:r>
    </w:p>
    <w:p>
      <w:pPr>
        <w:pStyle w:val="ListBullet"/>
      </w:pPr>
      <w:r>
        <w:t>Gründung, Führung und Verwaltung von Unternehmen</w:t>
      </w:r>
    </w:p>
    <w:p>
      <w:pPr>
        <w:jc w:val="left"/>
      </w:pPr>
      <w:r>
        <w:t>Rein beratende Tätigkeit (Vertragsgestaltung, Prozessvertretung) ist gemäß § 2 Abs. 1 Nr. 10 lit. d) GwG grds. ausgenommen.</w:t>
      </w:r>
    </w:p>
    <w:p/>
    <w:p>
      <w:pPr>
        <w:pStyle w:val="Heading2"/>
      </w:pPr>
      <w:r>
        <w:rPr>
          <w:rFonts w:ascii="Times New Roman" w:hAnsi="Times New Roman"/>
        </w:rPr>
        <w:t>2. Pflichten der EFS-GmbH nach GwG</w:t>
      </w:r>
    </w:p>
    <w:p>
      <w:pPr>
        <w:pStyle w:val="Heading3"/>
      </w:pPr>
      <w:r>
        <w:rPr>
          <w:rFonts w:ascii="Times New Roman" w:hAnsi="Times New Roman"/>
        </w:rPr>
        <w:t>Geldwäschebeauftragter (§ 7 GwG)</w:t>
      </w:r>
    </w:p>
    <w:p>
      <w:pPr>
        <w:jc w:val="left"/>
      </w:pPr>
      <w:r>
        <w:t>Rechtsanwaltskanzleien ab einer bestimmten Größe können zur Bestellung eines Geldwäschebeauftragten verpflichtet sein (§ 7 Abs. 1 GwG bei entsprechendem Risikoprofil). Da die EFS-GmbH keine Treuhandkonten für Mandanten führt und keine umfängliche Vermögensverwaltung betreibt, ist eine formale Bestellungspflicht zunächst nicht gegeben. Vorsorglich wird Dr. Sandhof als interner GwG-Koordinator benannt.</w:t>
      </w:r>
    </w:p>
    <w:p>
      <w:pPr>
        <w:pStyle w:val="Heading3"/>
      </w:pPr>
      <w:r>
        <w:rPr>
          <w:rFonts w:ascii="Times New Roman" w:hAnsi="Times New Roman"/>
        </w:rPr>
        <w:t>Risikomanagement (§ 4 GwG)</w:t>
      </w:r>
    </w:p>
    <w:p>
      <w:pPr>
        <w:jc w:val="left"/>
      </w:pPr>
      <w:r>
        <w:t xml:space="preserve">Die EFS-GmbH muss eine </w:t>
      </w:r>
      <w:r>
        <w:rPr>
          <w:b/>
        </w:rPr>
        <w:t>risikobasierte Risikoanalyse</w:t>
      </w:r>
      <w:r>
        <w:t xml:space="preserve"> nach § 5 GwG erstellen und dokumentieren. Risikofaktoren, die für die Kanzlei relevant sind: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Risikobereich</w:t>
            </w:r>
          </w:p>
        </w:tc>
        <w:tc>
          <w:tcPr>
            <w:tcW w:type="dxa" w:w="3024"/>
          </w:tcPr>
          <w:p>
            <w:r>
              <w:rPr>
                <w:rFonts w:ascii="Times New Roman" w:hAnsi="Times New Roman"/>
                <w:b/>
                <w:sz w:val="20"/>
              </w:rPr>
              <w:t>Einstufung</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Immobilientransaktionen (Steuerrecht Sandhof)</w:t>
            </w:r>
          </w:p>
        </w:tc>
        <w:tc>
          <w:tcPr>
            <w:tcW w:type="dxa" w:w="3024"/>
          </w:tcPr>
          <w:p>
            <w:r>
              <w:rPr>
                <w:rFonts w:ascii="Times New Roman" w:hAnsi="Times New Roman"/>
                <w:sz w:val="20"/>
              </w:rPr>
              <w:t>Mittel</w:t>
            </w:r>
          </w:p>
        </w:tc>
        <w:tc>
          <w:tcPr>
            <w:tcW w:type="dxa" w:w="3024"/>
          </w:tcPr>
          <w:p>
            <w:r>
              <w:rPr>
                <w:rFonts w:ascii="Times New Roman" w:hAnsi="Times New Roman"/>
                <w:sz w:val="20"/>
              </w:rPr>
              <w:t>Gelegentliche Beratung bei Grundstücksgeschäften</w:t>
            </w:r>
          </w:p>
        </w:tc>
      </w:tr>
      <w:tr>
        <w:tc>
          <w:tcPr>
            <w:tcW w:type="dxa" w:w="3024"/>
          </w:tcPr>
          <w:p>
            <w:r>
              <w:rPr>
                <w:rFonts w:ascii="Times New Roman" w:hAnsi="Times New Roman"/>
                <w:sz w:val="20"/>
              </w:rPr>
              <w:t>Unternehmensstrukturen (M&amp;A)</w:t>
            </w:r>
          </w:p>
        </w:tc>
        <w:tc>
          <w:tcPr>
            <w:tcW w:type="dxa" w:w="3024"/>
          </w:tcPr>
          <w:p>
            <w:r>
              <w:rPr>
                <w:rFonts w:ascii="Times New Roman" w:hAnsi="Times New Roman"/>
                <w:sz w:val="20"/>
              </w:rPr>
              <w:t>Mittel</w:t>
            </w:r>
          </w:p>
        </w:tc>
        <w:tc>
          <w:tcPr>
            <w:tcW w:type="dxa" w:w="3024"/>
          </w:tcPr>
          <w:p>
            <w:r>
              <w:rPr>
                <w:rFonts w:ascii="Times New Roman" w:hAnsi="Times New Roman"/>
                <w:sz w:val="20"/>
              </w:rPr>
              <w:t>Steuergestaltungsmandate Sandhof</w:t>
            </w:r>
          </w:p>
        </w:tc>
      </w:tr>
      <w:tr>
        <w:tc>
          <w:tcPr>
            <w:tcW w:type="dxa" w:w="3024"/>
          </w:tcPr>
          <w:p>
            <w:r>
              <w:rPr>
                <w:rFonts w:ascii="Times New Roman" w:hAnsi="Times New Roman"/>
                <w:sz w:val="20"/>
              </w:rPr>
              <w:t>Prozessvertretung</w:t>
            </w:r>
          </w:p>
        </w:tc>
        <w:tc>
          <w:tcPr>
            <w:tcW w:type="dxa" w:w="3024"/>
          </w:tcPr>
          <w:p>
            <w:r>
              <w:rPr>
                <w:rFonts w:ascii="Times New Roman" w:hAnsi="Times New Roman"/>
                <w:sz w:val="20"/>
              </w:rPr>
              <w:t>Gering</w:t>
            </w:r>
          </w:p>
        </w:tc>
        <w:tc>
          <w:tcPr>
            <w:tcW w:type="dxa" w:w="3024"/>
          </w:tcPr>
          <w:p>
            <w:r>
              <w:rPr>
                <w:rFonts w:ascii="Times New Roman" w:hAnsi="Times New Roman"/>
                <w:sz w:val="20"/>
              </w:rPr>
              <w:t>Keine GwG-Transaktion</w:t>
            </w:r>
          </w:p>
        </w:tc>
      </w:tr>
      <w:tr>
        <w:tc>
          <w:tcPr>
            <w:tcW w:type="dxa" w:w="3024"/>
          </w:tcPr>
          <w:p>
            <w:r>
              <w:rPr>
                <w:rFonts w:ascii="Times New Roman" w:hAnsi="Times New Roman"/>
                <w:sz w:val="20"/>
              </w:rPr>
              <w:t>Sozialrechtliche Mandate</w:t>
            </w:r>
          </w:p>
        </w:tc>
        <w:tc>
          <w:tcPr>
            <w:tcW w:type="dxa" w:w="3024"/>
          </w:tcPr>
          <w:p>
            <w:r>
              <w:rPr>
                <w:rFonts w:ascii="Times New Roman" w:hAnsi="Times New Roman"/>
                <w:sz w:val="20"/>
              </w:rPr>
              <w:t>Sehr gering</w:t>
            </w:r>
          </w:p>
        </w:tc>
        <w:tc>
          <w:tcPr>
            <w:tcW w:type="dxa" w:w="3024"/>
          </w:tcPr>
          <w:p>
            <w:r>
              <w:rPr>
                <w:rFonts w:ascii="Times New Roman" w:hAnsi="Times New Roman"/>
                <w:sz w:val="20"/>
              </w:rPr>
              <w:t>Kein Vermögenstransfer</w:t>
            </w:r>
          </w:p>
        </w:tc>
      </w:tr>
      <w:tr>
        <w:tc>
          <w:tcPr>
            <w:tcW w:type="dxa" w:w="3024"/>
          </w:tcPr>
          <w:p>
            <w:r>
              <w:rPr>
                <w:rFonts w:ascii="Times New Roman" w:hAnsi="Times New Roman"/>
                <w:sz w:val="20"/>
              </w:rPr>
              <w:t>Arbeitsrechtliche Mandate</w:t>
            </w:r>
          </w:p>
        </w:tc>
        <w:tc>
          <w:tcPr>
            <w:tcW w:type="dxa" w:w="3024"/>
          </w:tcPr>
          <w:p>
            <w:r>
              <w:rPr>
                <w:rFonts w:ascii="Times New Roman" w:hAnsi="Times New Roman"/>
                <w:sz w:val="20"/>
              </w:rPr>
              <w:t>Sehr gering</w:t>
            </w:r>
          </w:p>
        </w:tc>
        <w:tc>
          <w:tcPr>
            <w:tcW w:type="dxa" w:w="3024"/>
          </w:tcPr>
          <w:p>
            <w:r>
              <w:rPr>
                <w:rFonts w:ascii="Times New Roman" w:hAnsi="Times New Roman"/>
                <w:sz w:val="20"/>
              </w:rPr>
              <w:t>Kein Vermögenstransfer</w:t>
            </w:r>
          </w:p>
        </w:tc>
      </w:tr>
      <w:tr>
        <w:tc>
          <w:tcPr>
            <w:tcW w:type="dxa" w:w="3024"/>
          </w:tcPr>
          <w:p>
            <w:r>
              <w:rPr>
                <w:rFonts w:ascii="Times New Roman" w:hAnsi="Times New Roman"/>
                <w:sz w:val="20"/>
              </w:rPr>
              <w:t>PEP-Mandate (politisch exponierte Personen)</w:t>
            </w:r>
          </w:p>
        </w:tc>
        <w:tc>
          <w:tcPr>
            <w:tcW w:type="dxa" w:w="3024"/>
          </w:tcPr>
          <w:p>
            <w:r>
              <w:rPr>
                <w:rFonts w:ascii="Times New Roman" w:hAnsi="Times New Roman"/>
                <w:sz w:val="20"/>
              </w:rPr>
              <w:t>Gering</w:t>
            </w:r>
          </w:p>
        </w:tc>
        <w:tc>
          <w:tcPr>
            <w:tcW w:type="dxa" w:w="3024"/>
          </w:tcPr>
          <w:p>
            <w:r>
              <w:rPr>
                <w:rFonts w:ascii="Times New Roman" w:hAnsi="Times New Roman"/>
                <w:sz w:val="20"/>
              </w:rPr>
              <w:t>Kein typisches Mandantenprofil</w:t>
            </w:r>
          </w:p>
        </w:tc>
      </w:tr>
    </w:tbl>
    <w:p>
      <w:pPr>
        <w:pStyle w:val="Heading3"/>
      </w:pPr>
      <w:r>
        <w:rPr>
          <w:rFonts w:ascii="Times New Roman" w:hAnsi="Times New Roman"/>
        </w:rPr>
        <w:t>Sorgfaltspflichten (§§ 10–17 GwG)</w:t>
      </w:r>
    </w:p>
    <w:p>
      <w:pPr>
        <w:jc w:val="left"/>
      </w:pPr>
      <w:r>
        <w:t>Bei risikobehafteten Mandaten sind folgende allgemeine Sorgfaltspflichten zu erfüllen:</w:t>
      </w:r>
    </w:p>
    <w:p>
      <w:pPr>
        <w:pStyle w:val="ListNumber"/>
      </w:pPr>
      <w:r>
        <w:rPr>
          <w:b/>
        </w:rPr>
        <w:t>Identifizierung des Mandanten</w:t>
      </w:r>
      <w:r>
        <w:t xml:space="preserve"> (§ 10 Abs. 1 Nr. 1 GwG): Personalausweis oder Reisepass, bei juristischen Personen: Handelsregisterauszug, Gesellschafterliste</w:t>
      </w:r>
    </w:p>
    <w:p>
      <w:pPr>
        <w:pStyle w:val="ListNumber"/>
      </w:pPr>
      <w:r>
        <w:rPr>
          <w:b/>
        </w:rPr>
        <w:t>Ermittlung des wirtschaftlich Berechtigten</w:t>
      </w:r>
      <w:r>
        <w:t xml:space="preserve"> (§ 10 Abs. 1 Nr. 2 GwG): Bei juristischen Personen: Wer hält &gt; 25 % der Anteile?</w:t>
      </w:r>
    </w:p>
    <w:p>
      <w:pPr>
        <w:pStyle w:val="ListNumber"/>
      </w:pPr>
      <w:r>
        <w:rPr>
          <w:b/>
        </w:rPr>
        <w:t>Abklärung PEP-Status</w:t>
      </w:r>
      <w:r>
        <w:t xml:space="preserve"> (§ 10 Abs. 1 Nr. 4 GwG)</w:t>
      </w:r>
    </w:p>
    <w:p>
      <w:pPr>
        <w:pStyle w:val="ListNumber"/>
      </w:pPr>
      <w:r>
        <w:rPr>
          <w:b/>
        </w:rPr>
        <w:t>Feststellung Geschäftszweck</w:t>
      </w:r>
      <w:r>
        <w:t xml:space="preserve"> (§ 10 Abs. 1 Nr. 3 GwG)</w:t>
      </w:r>
    </w:p>
    <w:p>
      <w:pPr>
        <w:pStyle w:val="ListNumber"/>
      </w:pPr>
      <w:r>
        <w:rPr>
          <w:b/>
        </w:rPr>
        <w:t>Laufende Überwachung</w:t>
      </w:r>
      <w:r>
        <w:t xml:space="preserve"> (§ 10 Abs. 1 Nr. 5 GwG)</w:t>
      </w:r>
    </w:p>
    <w:p/>
    <w:p>
      <w:pPr>
        <w:pStyle w:val="Heading2"/>
      </w:pPr>
      <w:r>
        <w:rPr>
          <w:rFonts w:ascii="Times New Roman" w:hAnsi="Times New Roman"/>
        </w:rPr>
        <w:t>3. Interne Prozesse und Dokumentation</w:t>
      </w:r>
    </w:p>
    <w:p>
      <w:pPr>
        <w:pStyle w:val="Heading3"/>
      </w:pPr>
      <w:r>
        <w:rPr>
          <w:rFonts w:ascii="Times New Roman" w:hAnsi="Times New Roman"/>
        </w:rPr>
        <w:t>Mandatsannahme-Checkliste (GwG)</w:t>
      </w:r>
    </w:p>
    <w:p>
      <w:pPr>
        <w:jc w:val="left"/>
      </w:pPr>
      <w:r>
        <w:t>Für alle als risikoerhöht eingestuften Mandate (Kategorie "Mittel" oder höher) gilt folgendes Verfahren:</w:t>
      </w:r>
    </w:p>
    <w:p>
      <w:pPr>
        <w:pStyle w:val="ListNumber"/>
      </w:pPr>
      <w:r>
        <w:t>Identifizierungspflicht bei erster Kontaktaufnahme erfüllen</w:t>
      </w:r>
    </w:p>
    <w:p>
      <w:pPr>
        <w:pStyle w:val="ListNumber"/>
      </w:pPr>
      <w:r>
        <w:t>Ausfüllen des GwG-Mandatsannahme-Formulars (interne Vorlage, erstellt von Sandhof)</w:t>
      </w:r>
    </w:p>
    <w:p>
      <w:pPr>
        <w:pStyle w:val="ListNumber"/>
      </w:pPr>
      <w:r>
        <w:t>Wirtschaftlich Berechtigten ermitteln und Transparenzregistereintrag prüfen (§ 19 GwG, Transparenzregister)</w:t>
      </w:r>
    </w:p>
    <w:p>
      <w:pPr>
        <w:pStyle w:val="ListNumber"/>
      </w:pPr>
      <w:r>
        <w:t>Freigabe durch GwG-Koordinator Sandhof erforderlich</w:t>
      </w:r>
    </w:p>
    <w:p>
      <w:pPr>
        <w:pStyle w:val="Heading3"/>
      </w:pPr>
      <w:r>
        <w:rPr>
          <w:rFonts w:ascii="Times New Roman" w:hAnsi="Times New Roman"/>
        </w:rPr>
        <w:t>Transparenzregister</w:t>
      </w:r>
    </w:p>
    <w:p>
      <w:pPr>
        <w:jc w:val="left"/>
      </w:pPr>
      <w:r>
        <w:t>Das Transparenzregister (§ 19 GwG) erfasst wirtschaftlich Berechtigte von juristischen Personen. Bei Unternehmensmandaten: Eintrag im Transparenzregister prüfen und ggf. Mandant zur Meldepflicht hinweisen.</w:t>
      </w:r>
    </w:p>
    <w:p>
      <w:pPr>
        <w:pStyle w:val="Heading3"/>
      </w:pPr>
      <w:r>
        <w:rPr>
          <w:rFonts w:ascii="Times New Roman" w:hAnsi="Times New Roman"/>
        </w:rPr>
        <w:t>Meldepflicht (§ 43 GwG)</w:t>
      </w:r>
    </w:p>
    <w:p>
      <w:pPr>
        <w:jc w:val="left"/>
      </w:pPr>
      <w:r>
        <w:t>Bei Verdacht auf Geldwäsche oder Terrorismusfinanzierung sind Rechtsanwälte zur Meldung an die Financial Intelligence Unit (FIU) verpflichtet. Ausgenommen sind Tätigkeiten im Rahmen der Rechtsberatung, die der anwaltlichen Verschwiegenheitspflicht unterliegen (§ 43 Abs. 2 GwG i.V.m. § 43a BRAO). Der Konflikt zwischen GwG-Meldepflicht und Verschwiegenheitspflicht ist in jedem Einzelfall zu prüfen.</w:t>
      </w:r>
    </w:p>
    <w:p>
      <w:pPr>
        <w:pStyle w:val="Heading3"/>
      </w:pPr>
      <w:r>
        <w:rPr>
          <w:rFonts w:ascii="Times New Roman" w:hAnsi="Times New Roman"/>
        </w:rPr>
        <w:t>Aufbewahrung (§ 8 GwG)</w:t>
      </w:r>
    </w:p>
    <w:p>
      <w:pPr>
        <w:jc w:val="left"/>
      </w:pPr>
      <w:r>
        <w:t xml:space="preserve">Alle GwG-relevanten Unterlagen und Aufzeichnungen sind </w:t>
      </w:r>
      <w:r>
        <w:rPr>
          <w:b/>
        </w:rPr>
        <w:t>5 Jahre</w:t>
      </w:r>
      <w:r>
        <w:t xml:space="preserve"> aufzubewahren (§ 8 Abs. 4 GwG).</w:t>
      </w:r>
    </w:p>
    <w:p/>
    <w:p>
      <w:pPr>
        <w:pStyle w:val="Heading2"/>
      </w:pPr>
      <w:r>
        <w:rPr>
          <w:rFonts w:ascii="Times New Roman" w:hAnsi="Times New Roman"/>
        </w:rPr>
        <w:t>4. Schulung und Sensibilisierung</w:t>
      </w:r>
    </w:p>
    <w:p>
      <w:pPr>
        <w:jc w:val="left"/>
      </w:pPr>
      <w:r>
        <w:t>Gemäß § 6 Abs. 2 Nr. 6 GwG haben Verpflichtete dafür Sorge zu tragen, dass ihre Mitarbeiter mit den einschlägigen Vorschriften vertraut sind.</w:t>
      </w:r>
    </w:p>
    <w:p>
      <w:pPr>
        <w:jc w:val="left"/>
      </w:pPr>
      <w:r>
        <w:rPr>
          <w:b/>
        </w:rPr>
        <w:t>Geplante Maßnahmen EFS-GmbH:</w:t>
      </w:r>
    </w:p>
    <w:p>
      <w:pPr>
        <w:pStyle w:val="ListBullet"/>
      </w:pPr>
      <w:r>
        <w:t>Einmalschulung aller Mitarbeiter bei Kanzleieröffnung (01.05.2026, 2 Stunden)</w:t>
      </w:r>
    </w:p>
    <w:p>
      <w:pPr>
        <w:pStyle w:val="ListBullet"/>
      </w:pPr>
      <w:r>
        <w:t>Jährliche Auffrischungsschulung (Digital, via Online-Plattform Wolters Kluwer Compliance)</w:t>
      </w:r>
    </w:p>
    <w:p>
      <w:pPr>
        <w:pStyle w:val="ListBullet"/>
      </w:pPr>
      <w:r>
        <w:t>Interne GwG-Richtlinie (schriftlich, für alle Mitarbeiter zugänglich)</w:t>
      </w:r>
    </w:p>
    <w:p/>
    <w:p>
      <w:pPr>
        <w:pStyle w:val="Heading2"/>
      </w:pPr>
      <w:r>
        <w:rPr>
          <w:rFonts w:ascii="Times New Roman" w:hAnsi="Times New Roman"/>
        </w:rPr>
        <w:t>Quellen</w:t>
      </w:r>
    </w:p>
    <w:p>
      <w:pPr>
        <w:pStyle w:val="ListBullet"/>
      </w:pPr>
      <w:r>
        <w:t>GwG § 2 (Verpflichtete): dejure.org/gesetze/GwG/2</w:t>
      </w:r>
    </w:p>
    <w:p>
      <w:pPr>
        <w:pStyle w:val="ListBullet"/>
      </w:pPr>
      <w:r>
        <w:t>GwG §§ 4–6 (Risikomanagement, interne Sicherungsmaßnahmen): dejure.org/gesetze/GwG</w:t>
      </w:r>
    </w:p>
    <w:p>
      <w:pPr>
        <w:pStyle w:val="ListBullet"/>
      </w:pPr>
      <w:r>
        <w:t>GwG § 10 (Allgemeine Sorgfaltspflichten): dejure.org/gesetze/GwG/10</w:t>
      </w:r>
    </w:p>
    <w:p>
      <w:pPr>
        <w:pStyle w:val="ListBullet"/>
      </w:pPr>
      <w:r>
        <w:t>GwG § 43 (Meldepflicht): dejure.org/gesetze/GwG/43</w:t>
      </w:r>
    </w:p>
    <w:p>
      <w:pPr>
        <w:pStyle w:val="ListBullet"/>
      </w:pPr>
      <w:r>
        <w:t>BRAO § 43a Abs. 2 (Verschwiegenheitspflicht): dejure.org/gesetze/BRAO/43a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