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Einarbeitungsplan — Kanzleimitarbeiter EFS Recht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28. April 2026</w:t>
      </w:r>
    </w:p>
    <w:p>
      <w:pPr>
        <w:jc w:val="left"/>
      </w:pPr>
      <w:r>
        <w:rPr>
          <w:b/>
        </w:rPr>
        <w:t>Verantwortlich:</w:t>
      </w:r>
      <w:r>
        <w:t xml:space="preserve"> Dr. Hilke Eckermann (Personalressort)</w:t>
      </w:r>
    </w:p>
    <w:p/>
    <w:p>
      <w:pPr>
        <w:pStyle w:val="Heading2"/>
      </w:pPr>
      <w:r>
        <w:rPr>
          <w:rFonts w:ascii="Times New Roman" w:hAnsi="Times New Roman"/>
        </w:rPr>
        <w:t>1. Ziele der Einarbeitung</w:t>
      </w:r>
    </w:p>
    <w:p>
      <w:pPr>
        <w:jc w:val="left"/>
      </w:pPr>
      <w:r>
        <w:t>Der strukturierte Einarbeitungsplan hat folgende Ziele:</w:t>
      </w:r>
    </w:p>
    <w:p>
      <w:pPr>
        <w:pStyle w:val="ListNumber"/>
      </w:pPr>
      <w:r>
        <w:t>Alle zwölf Mitarbeiter werden mit der neuen Kanzlei-Software (RA-Micro) und dem IT-System vertraut gemacht.</w:t>
      </w:r>
    </w:p>
    <w:p>
      <w:pPr>
        <w:pStyle w:val="ListNumber"/>
      </w:pPr>
      <w:r>
        <w:t>Die gemeinsame Kanzleikultur ("Eine Kanzlei, drei Fachbereiche") wird vermittelt.</w:t>
      </w:r>
    </w:p>
    <w:p>
      <w:pPr>
        <w:pStyle w:val="ListNumber"/>
      </w:pPr>
      <w:r>
        <w:t>Reibungslose Aufnahme des Kanzleibetriebs am 01. Mai 2026 sichergestellt.</w:t>
      </w:r>
    </w:p>
    <w:p>
      <w:pPr>
        <w:pStyle w:val="ListNumber"/>
      </w:pPr>
      <w:r>
        <w:t>Fristen und Aktenpflege in RA-Micro werden von Tag 1 korrekt geführt.</w:t>
      </w:r>
    </w:p>
    <w:p>
      <w:pPr>
        <w:pStyle w:val="ListNumber"/>
      </w:pPr>
      <w:r>
        <w:t>Compliance-Anforderungen (GwG, DSGVO, beA) werden bei allen Mitarbeitern verankert.</w:t>
      </w:r>
    </w:p>
    <w:p/>
    <w:p>
      <w:pPr>
        <w:pStyle w:val="Heading2"/>
      </w:pPr>
      <w:r>
        <w:rPr>
          <w:rFonts w:ascii="Times New Roman" w:hAnsi="Times New Roman"/>
        </w:rPr>
        <w:t>2. Einarbeitungsstruktur — Drei-Phasen-Modell</w:t>
      </w:r>
    </w:p>
    <w:p>
      <w:pPr>
        <w:pStyle w:val="Heading3"/>
      </w:pPr>
      <w:r>
        <w:rPr>
          <w:rFonts w:ascii="Times New Roman" w:hAnsi="Times New Roman"/>
        </w:rPr>
        <w:t>Phase 1: Onboarding (25. April – 01. Mai 2026)</w:t>
      </w:r>
    </w:p>
    <w:p>
      <w:pPr>
        <w:jc w:val="left"/>
      </w:pPr>
      <w:r>
        <w:t>Finden noch in den Übergangsräumen / per Videoschalte statt, da das Kanzleibüro noch im Umbau 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Schlüsselübergabe, Hausführung, Parkplätze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Eckermann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IT-Ausstattung in Betrieb nehmen; Login RA-Micro, E-Mail, beA-Client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IT-Dienstleister SecureData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RA-Micro Grundschulung (4 Std.) — Aktenanlage, Fristen, Wiedervorlagen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RA-Micro-Trainer extern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beA-Schulung (2 Std.) — Nachrichten senden/empfangen, Anhänge, Fristen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beA-Trainer Bergmann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Kanzleiordnung und Arbeitsrichtlinien — Dr. Eckermann (1 Std.)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Eckermann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GwG-Schulung (2 Std.)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Sandhof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DSGVO-Schulung (2 Std.)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Externer DSB SecureData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Fachbereichspräsentationen (je 30 Min.) Sozialrecht, Arbeitsrecht, Steuerrecht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Eckermann, Friedrich, Sandhof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Probelauf RA-Micro: Arbeitsakte anlegen, Fristen setzen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Phase 2: Eröffnungswoche (01. Mai – 08. Mai 2026)</w:t>
      </w:r>
    </w:p>
    <w:p>
      <w:pPr>
        <w:jc w:val="left"/>
      </w:pPr>
      <w:r>
        <w:t>Echtbetrieb mit Unterstützung. Alle Partner sind in der ersten Woche ganztägig präsent.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Kanzleieröffnung; Empfang ab 16 Uhr (Aktenstück 22)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Mandantengespräche; Akte in RA-Micro anlegen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Nachbesprechung IT-Probleme; Sofortmaßnahmen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Besprechung Fristenkalender KW 19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Phase 3: Konsolidierung (09. Mai – 30. Juni 2026)</w:t>
      </w:r>
    </w:p>
    <w:p>
      <w:pPr>
        <w:jc w:val="left"/>
      </w:pPr>
      <w:r>
        <w:t>Regelmäßige Teambesprechungen; Qualitätssicherung der Aktenpflege; individuelle Nachschulungen bei Bedarf.</w:t>
      </w:r>
    </w:p>
    <w:p>
      <w:pPr>
        <w:pStyle w:val="ListBullet"/>
      </w:pPr>
      <w:r>
        <w:rPr>
          <w:b/>
        </w:rPr>
        <w:t>Wöchentliche Kanzleikonferenz:</w:t>
      </w:r>
      <w:r>
        <w:t xml:space="preserve"> Montag 8:30 Uhr (alle Mitarbeiter, 45 Min.)</w:t>
      </w:r>
    </w:p>
    <w:p>
      <w:pPr>
        <w:pStyle w:val="ListBullet"/>
      </w:pPr>
      <w:r>
        <w:rPr>
          <w:b/>
        </w:rPr>
        <w:t>Fachabteilungsbesprechungen:</w:t>
      </w:r>
      <w:r>
        <w:t xml:space="preserve"> Mittwoch 9:00 Uhr (je Fachbereich)</w:t>
      </w:r>
    </w:p>
    <w:p>
      <w:pPr>
        <w:pStyle w:val="ListBullet"/>
      </w:pPr>
      <w:r>
        <w:rPr>
          <w:b/>
        </w:rPr>
        <w:t>IT-Sprechstunde:</w:t>
      </w:r>
      <w:r>
        <w:t xml:space="preserve"> Donnerstag 12:00–13:00 Uhr (Dr. Friedrich / SecureData)</w:t>
      </w:r>
    </w:p>
    <w:p/>
    <w:p>
      <w:pPr>
        <w:pStyle w:val="Heading2"/>
      </w:pPr>
      <w:r>
        <w:rPr>
          <w:rFonts w:ascii="Times New Roman" w:hAnsi="Times New Roman"/>
        </w:rPr>
        <w:t>3. Patensystem</w:t>
      </w:r>
    </w:p>
    <w:p>
      <w:pPr>
        <w:jc w:val="left"/>
      </w:pPr>
      <w:r>
        <w:t>Jeder der vier Berufsunerfahreneren Mitarbeiter (MA 4 Auszubildende, MA 7 3 Jahre, MA 8 3 Jahre, MA 11 4 Jahre) erhält eine erfahrene Patin oder einen erfahrenen Paten: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Junior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Patin/Pate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 4 (Azubi)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 2 (ReFa 15 J.)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 7 (ReFa 6 J.)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 6 (ReFa 12 J.)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 8 (ReFa 3 J.)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 10 (ReFa 9 J.)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 11 (ReFa 4 J.)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 3 (ReFa 8 J.)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Kanzleiordnung (Auszug wesentlicher Regeln)</w:t>
      </w:r>
    </w:p>
    <w:p>
      <w:pPr>
        <w:pStyle w:val="ListBullet"/>
      </w:pPr>
      <w:r>
        <w:rPr>
          <w:b/>
        </w:rPr>
        <w:t>Kernarbeitszeit:</w:t>
      </w:r>
      <w:r>
        <w:t xml:space="preserve"> 09:00 – 17:00 Uhr; Gleitzeit außerhalb</w:t>
      </w:r>
    </w:p>
    <w:p>
      <w:pPr>
        <w:pStyle w:val="ListBullet"/>
      </w:pPr>
      <w:r>
        <w:rPr>
          <w:b/>
        </w:rPr>
        <w:t>Homeoffice:</w:t>
      </w:r>
      <w:r>
        <w:t xml:space="preserve"> Bis zu 2 Tage/Woche; Genehmigung durch zuständigen Partner; Voraussetzung: sicherer VPN-Zugang</w:t>
      </w:r>
    </w:p>
    <w:p>
      <w:pPr>
        <w:pStyle w:val="ListBullet"/>
      </w:pPr>
      <w:r>
        <w:rPr>
          <w:b/>
        </w:rPr>
        <w:t>Kleidung:</w:t>
      </w:r>
      <w:r>
        <w:t xml:space="preserve"> Business Casual; an Mandantenterminen Business Formal</w:t>
      </w:r>
    </w:p>
    <w:p>
      <w:pPr>
        <w:pStyle w:val="ListBullet"/>
      </w:pPr>
      <w:r>
        <w:rPr>
          <w:b/>
        </w:rPr>
        <w:t>Fristenkalender:</w:t>
      </w:r>
      <w:r>
        <w:t xml:space="preserve"> Doppeltes Fristensystem (RA-Micro und analoges Fristenanschlagbuch); tägliche Kontrolle durch Sachbearbeiter und Partner</w:t>
      </w:r>
    </w:p>
    <w:p>
      <w:pPr>
        <w:pStyle w:val="ListBullet"/>
      </w:pPr>
      <w:r>
        <w:rPr>
          <w:b/>
        </w:rPr>
        <w:t>Vertraulichkeit:</w:t>
      </w:r>
      <w:r>
        <w:t xml:space="preserve"> Kein Sprechen über Mandate außerhalb der Kanzlei; kein Versand unverschlüsselter mandatsbezogener E-Mails; beA für Korrespondenz mit Gerichten</w:t>
      </w:r>
    </w:p>
    <w:p>
      <w:pPr>
        <w:pStyle w:val="ListBullet"/>
      </w:pPr>
      <w:r>
        <w:rPr>
          <w:b/>
        </w:rPr>
        <w:t>Beschwerdemanagement:</w:t>
      </w:r>
      <w:r>
        <w:t xml:space="preserve"> Mandantenbeschwerden sofort an zuständigen Partner; Protokollierung in RA-Micro</w:t>
      </w:r>
    </w:p>
    <w:p/>
    <w:p>
      <w:pPr>
        <w:pStyle w:val="Heading2"/>
      </w:pPr>
      <w:r>
        <w:rPr>
          <w:rFonts w:ascii="Times New Roman" w:hAnsi="Times New Roman"/>
        </w:rPr>
        <w:t>5. Weiterbildung</w:t>
      </w:r>
    </w:p>
    <w:p>
      <w:pPr>
        <w:jc w:val="left"/>
      </w:pPr>
      <w:r>
        <w:t>Die EFS-GmbH übernimmt Kosten für Pflichtfortbildungen (§ 15 FAO für Fachanwälte: 15 Stunden/Jahr je Fachgebiet) und empfiehlt allen Mitarbeitern eine Jahresfortbildung ihrer Wahl (Budget je ReFa: 500 EUR/Jahr).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BRAO § 43a (Berufspflichten): dejure.org/gesetze/BRAO/43a</w:t>
      </w:r>
    </w:p>
    <w:p>
      <w:pPr>
        <w:pStyle w:val="ListBullet"/>
      </w:pPr>
      <w:r>
        <w:t>FAO § 15 (Fortbildungspflicht Fachanwalt): dejure.org/gesetze/FAO</w:t>
      </w:r>
    </w:p>
    <w:p>
      <w:pPr>
        <w:pStyle w:val="ListBullet"/>
      </w:pPr>
      <w:r>
        <w:t>BRAO § 31a (beA Nutzungspflicht): dejure.org/gesetze/BRAO/31a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