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Kanzleisoftware-Lizenz-Übersicht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28. April 2026</w:t>
      </w:r>
    </w:p>
    <w:p>
      <w:pPr>
        <w:jc w:val="left"/>
      </w:pPr>
      <w:r>
        <w:rPr>
          <w:b/>
        </w:rPr>
        <w:t>Verantwortlich:</w:t>
      </w:r>
      <w:r>
        <w:t xml:space="preserve"> Dr. Matthias Friedrich (IT-Ressort)</w:t>
      </w:r>
    </w:p>
    <w:p/>
    <w:p>
      <w:pPr>
        <w:pStyle w:val="Heading2"/>
      </w:pPr>
      <w:r>
        <w:rPr>
          <w:rFonts w:ascii="Times New Roman" w:hAnsi="Times New Roman"/>
        </w:rPr>
        <w:t>1. Übersicht Softwarelizenzen — Kanzlei EFS (ab 01.05.2026)</w:t>
      </w:r>
    </w:p>
    <w:p>
      <w:pPr>
        <w:jc w:val="left"/>
      </w:pPr>
      <w:r>
        <w:t>Die EFS-GmbH setzt folgende Softwareprodukte ein. Alle Lizenzen wurden im Rahmen der Kanzleigründung neu beschafft oder aus den Vorgängerkanzleien übertragen.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Software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Anbieter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Lizenzmodell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Anzahl Lizenzen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Jahreskosten (netto)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Laufzeit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RA-Micro Netzwerk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RA-Micro Software 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Netzwerklizenz (bis 20 AP)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 kündbar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Microsoft 365 Business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Microsoft Deutschland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SaaS, pro Nutzer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6.750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Adobe Acrobat Pro DC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Adobe Systems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SaaS, pro Nutzer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DATEV (Lohnabrechnung)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DATEV 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SaaS, Abruf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Lexisnexis Smartlaw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LexisNexis 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SaaS, Kanzlei-Flatrate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3.600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beA-Client (BRAK)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BRAK / IT-Dienstleister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Keine Lizenzgebühr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Sophos Endpoint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Sophos Ltd.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Per Device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Veeam Backup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Veeam Software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Per Server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Usercentrics (Consent)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Usercentrics GmbH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SaaS, per Domain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WordPress + Elementor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Automattic / Elementor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CMS + Theme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Jährlich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 Softwarelizenzen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60.850 EUR/Jahr</w:t>
            </w:r>
          </w:p>
        </w:tc>
        <w:tc>
          <w:tcPr>
            <w:tcW w:type="dxa" w:w="1512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</w:rPr>
        <w:t>2. Anmerkungen zu den Kernlizenzen</w:t>
      </w:r>
    </w:p>
    <w:p>
      <w:pPr>
        <w:pStyle w:val="Heading3"/>
      </w:pPr>
      <w:r>
        <w:rPr>
          <w:rFonts w:ascii="Times New Roman" w:hAnsi="Times New Roman"/>
        </w:rPr>
        <w:t>RA-Micro</w:t>
      </w:r>
    </w:p>
    <w:p>
      <w:pPr>
        <w:jc w:val="left"/>
      </w:pPr>
      <w:r>
        <w:t>Die Netzwerklizenz für bis zu 20 Arbeitsplätze ist für die aktuelle Kanzleigröße ausgelegt und bietet Reservekapazität. RA-Micro enthält folgende Module (alle im Lizenzpaket):</w:t>
      </w:r>
    </w:p>
    <w:p>
      <w:pPr>
        <w:pStyle w:val="ListBullet"/>
      </w:pPr>
      <w:r>
        <w:rPr>
          <w:b/>
        </w:rPr>
        <w:t>Akten</w:t>
      </w:r>
      <w:r>
        <w:t>: vollständige Verwaltung, Fristenkontrolle</w:t>
      </w:r>
    </w:p>
    <w:p>
      <w:pPr>
        <w:pStyle w:val="ListBullet"/>
      </w:pPr>
      <w:r>
        <w:rPr>
          <w:b/>
        </w:rPr>
        <w:t>Abrechnung</w:t>
      </w:r>
      <w:r>
        <w:t>: RVG-Abrechnung (inkl. VBVG für Betreuungssachen), Honorarvereinbarungen</w:t>
      </w:r>
    </w:p>
    <w:p>
      <w:pPr>
        <w:pStyle w:val="ListBullet"/>
      </w:pPr>
      <w:r>
        <w:rPr>
          <w:b/>
        </w:rPr>
        <w:t>beA-Integration</w:t>
      </w:r>
      <w:r>
        <w:t>: Direktversand aus RA-Micro heraus</w:t>
      </w:r>
    </w:p>
    <w:p>
      <w:pPr>
        <w:pStyle w:val="ListBullet"/>
      </w:pPr>
      <w:r>
        <w:rPr>
          <w:b/>
        </w:rPr>
        <w:t>Dokumentenmanagement</w:t>
      </w:r>
      <w:r>
        <w:t>: Vorlagen, OCR, Archiv</w:t>
      </w:r>
    </w:p>
    <w:p>
      <w:pPr>
        <w:pStyle w:val="ListBullet"/>
      </w:pPr>
      <w:r>
        <w:rPr>
          <w:b/>
        </w:rPr>
        <w:t>SEPA-Zahlungsverkehr</w:t>
      </w:r>
      <w:r>
        <w:t>: Lastschrift und Überweisungen</w:t>
      </w:r>
    </w:p>
    <w:p>
      <w:pPr>
        <w:pStyle w:val="ListBullet"/>
      </w:pPr>
      <w:r>
        <w:rPr>
          <w:b/>
        </w:rPr>
        <w:t>Sozialrecht-Modul</w:t>
      </w:r>
      <w:r>
        <w:t>: § 14 RVG, spezifische Vorlagen SGB-Mandate</w:t>
      </w:r>
    </w:p>
    <w:p>
      <w:pPr>
        <w:pStyle w:val="ListBullet"/>
      </w:pPr>
      <w:r>
        <w:rPr>
          <w:b/>
        </w:rPr>
        <w:t>Personalverwaltung</w:t>
      </w:r>
      <w:r>
        <w:t xml:space="preserve"> (einfach, Lohnabrechnung über DATEV)</w:t>
      </w:r>
    </w:p>
    <w:p>
      <w:pPr>
        <w:jc w:val="left"/>
      </w:pPr>
      <w:r>
        <w:t>Datenmigration aus Eckermann-Kanzlei (RA-Micro vorhanden) und Friedrich &amp; Brandt GbR (RA-Micro vorhanden): Ende April 2026 abgeschlossen. Datenmigration aus Sandhof GbR (AnNoText): RA-Micro Migration-Service, Abschluss 28.04.2026.</w:t>
      </w:r>
    </w:p>
    <w:p>
      <w:pPr>
        <w:pStyle w:val="Heading3"/>
      </w:pPr>
      <w:r>
        <w:rPr>
          <w:rFonts w:ascii="Times New Roman" w:hAnsi="Times New Roman"/>
        </w:rPr>
        <w:t>Microsoft 365 Business</w:t>
      </w:r>
    </w:p>
    <w:p>
      <w:pPr>
        <w:jc w:val="left"/>
      </w:pPr>
      <w:r>
        <w:t>Kanzleiweite Nutzung: Word, Excel, Outlook, Teams, SharePoint (Intranet/Dokumentenablage). Datenspeicherung auf Microsoft-Servern (EU, Irland). Auftragsverarbeitungsvertrag (AVV) nach Art. 28 DSGVO mit Microsoft unterzeichnet.</w:t>
      </w:r>
    </w:p>
    <w:p>
      <w:pPr>
        <w:jc w:val="left"/>
      </w:pPr>
      <w:r>
        <w:t>Besonderheit: Microsoft 365 und RA-Micro sind über den RA-Micro DMS-Konnektor verknüpft, sodass aus Outlook direkt in RA-Micro-Akten gespeichert werden kann.</w:t>
      </w:r>
    </w:p>
    <w:p>
      <w:pPr>
        <w:pStyle w:val="Heading3"/>
      </w:pPr>
      <w:r>
        <w:rPr>
          <w:rFonts w:ascii="Times New Roman" w:hAnsi="Times New Roman"/>
        </w:rPr>
        <w:t>DATEV Lohnabrechnung</w:t>
      </w:r>
    </w:p>
    <w:p>
      <w:pPr>
        <w:jc w:val="left"/>
      </w:pPr>
      <w:r>
        <w:t>Die Lohnabrechnung für alle 15 Mitarbeiter (inkl. drei Geschäftsführer-Gehaltsabrechnungen) erfolgt über DATEV. Steuerberater Prof. Dr. Kallenbrunner führt die laufende Buchführung und übernimmt die DATEV-Schnittstelle aus externer Kanzlei.</w:t>
      </w:r>
    </w:p>
    <w:p/>
    <w:p>
      <w:pPr>
        <w:pStyle w:val="Heading2"/>
      </w:pPr>
      <w:r>
        <w:rPr>
          <w:rFonts w:ascii="Times New Roman" w:hAnsi="Times New Roman"/>
        </w:rPr>
        <w:t>3. Open-Source-Software</w:t>
      </w:r>
    </w:p>
    <w:p>
      <w:pPr>
        <w:jc w:val="left"/>
      </w:pPr>
      <w:r>
        <w:t>Neben kommerziellen Produkten werden folgende Open-Source-Programme eingesetzt: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Software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Zweck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Lizenz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LibreOffice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Backup-Office für ältere DOC-Formate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Mozilla Public License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Thunderbird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Backup-Mail-Client (beA-Zugang)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Mozilla Public License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KeePass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Passwortmanager (lokal)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GPL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OpenVPN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VPN-Client Homeoffice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GPL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Geplante Erweiterungen (2027)</w:t>
      </w:r>
    </w:p>
    <w:p>
      <w:pPr>
        <w:pStyle w:val="ListBullet"/>
      </w:pPr>
      <w:r>
        <w:rPr>
          <w:b/>
        </w:rPr>
        <w:t>KI-Assistenz für Dokumenterstellung:</w:t>
      </w:r>
      <w:r>
        <w:t xml:space="preserve"> Pilotprojekt mit LegalTech-Startups; Prüfung DSGVO-Konformität erforderlich</w:t>
      </w:r>
    </w:p>
    <w:p>
      <w:pPr>
        <w:pStyle w:val="ListBullet"/>
      </w:pPr>
      <w:r>
        <w:rPr>
          <w:b/>
        </w:rPr>
        <w:t>Zeiterfassung:</w:t>
      </w:r>
      <w:r>
        <w:t xml:space="preserve"> Einführung eines Zeiterfassungsmoduls in RA-Micro (bisher nicht genutzt); relevant für stundenbasierte Mandatsabrechnungen</w:t>
      </w:r>
    </w:p>
    <w:p>
      <w:pPr>
        <w:pStyle w:val="ListBullet"/>
      </w:pPr>
      <w:r>
        <w:rPr>
          <w:b/>
        </w:rPr>
        <w:t>Videokonferenz-Suite:</w:t>
      </w:r>
      <w:r>
        <w:t xml:space="preserve"> Erweiterung von Microsoft Teams um sichere Mandantenvideokommunikation (Teams Premium oder Lösung speziell für Anwaltskanzleien)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DSGVO Art. 28 (Auftragsverarbeitung): dejure.org/gesetze/DSGVO/28</w:t>
      </w:r>
    </w:p>
    <w:p>
      <w:pPr>
        <w:pStyle w:val="ListBullet"/>
      </w:pPr>
      <w:r>
        <w:t>BRAO § 31a (beA): dejure.org/gesetze/BRAO/31a</w:t>
      </w:r>
    </w:p>
    <w:p>
      <w:pPr>
        <w:pStyle w:val="ListBullet"/>
      </w:pPr>
      <w:r>
        <w:t>RVG §§ 13, 14 (Vergütung): dejure.org/gesetze/RVG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