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19 Corporate Governance und Geschäftsführungsordnung</w:t>
      </w:r>
    </w:p>
    <w:p>
      <w:pPr>
        <w:jc w:val="left"/>
      </w:pPr>
      <w:r>
        <w:rPr>
          <w:b/>
        </w:rPr>
        <w:t>Aktenzeichen:</w:t>
      </w:r>
      <w:r>
        <w:t xml:space="preserve"> KBH-2026-001-EFS</w:t>
      </w:r>
    </w:p>
    <w:p>
      <w:pPr>
        <w:jc w:val="left"/>
      </w:pPr>
      <w:r>
        <w:rPr>
          <w:b/>
        </w:rPr>
        <w:t>Stand:</w:t>
      </w:r>
      <w:r>
        <w:t xml:space="preserve"> 02. Mai 2026</w:t>
      </w:r>
    </w:p>
    <w:p>
      <w:pPr>
        <w:jc w:val="left"/>
      </w:pPr>
      <w:r>
        <w:rPr>
          <w:b/>
        </w:rPr>
        <w:t>Bearbeiterin:</w:t>
      </w:r>
      <w:r>
        <w:t xml:space="preserve"> RA Monika Hellwig</w:t>
      </w:r>
    </w:p>
    <w:p/>
    <w:p>
      <w:pPr>
        <w:pStyle w:val="Heading2"/>
      </w:pPr>
      <w:r>
        <w:rPr>
          <w:rFonts w:ascii="Times New Roman" w:hAnsi="Times New Roman"/>
        </w:rPr>
        <w:t>1. Grundsatz der Geschäftsführung</w:t>
      </w:r>
    </w:p>
    <w:p>
      <w:pPr>
        <w:jc w:val="left"/>
      </w:pPr>
      <w:r>
        <w:t>Die EFS-GmbH wird gemäß § 35 GmbHG durch ihre Geschäftsführer vertreten. Alle drei Gesellschafter sind zugleich Geschäftsführer. Die Geschäftsführungsordnung (GO) ergänzt den Gesellschaftsvertrag (Aktenstück 04) und regelt die Binnenorganisation der Geschäftsführung.</w:t>
      </w:r>
    </w:p>
    <w:p/>
    <w:p>
      <w:pPr>
        <w:pStyle w:val="Heading2"/>
      </w:pPr>
      <w:r>
        <w:rPr>
          <w:rFonts w:ascii="Times New Roman" w:hAnsi="Times New Roman"/>
        </w:rPr>
        <w:t>2. Ressortverantwortung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Partner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Ressort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Aufgaben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Hilke Eckermann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Personal, Weiterbildung, Marketing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Einstellung, Kündigung, Gehaltsverhandlungen (bis 50.000 EUR/Jahr), Fortbildungsplanung, Marketing-Budget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Matthias Friedrich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IT, Mandate Arbeitsrecht, Außendarstellung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IT-Investitionen bis 10.000 EUR, IT-Dienstleister, Website, beA-Überwachung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Dr. Volker Sandhof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Finanzen, Steuern, Versicherungen, GwG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Buchführung (mit Kallenbrunner), Jahresabschluss, Steuermeldungen, GwG-Koordination, Versicherungen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Gesamtgeschäftsführung (gemeinschaftliche Entscheidung erforderlich)</w:t>
      </w:r>
    </w:p>
    <w:p>
      <w:pPr>
        <w:jc w:val="left"/>
      </w:pPr>
      <w:r>
        <w:t>Folgende Entscheidungen bedürfen der Zustimmung aller drei Geschäftsführer (Einstimmigkeit):</w:t>
      </w:r>
    </w:p>
    <w:p>
      <w:pPr>
        <w:pStyle w:val="ListBullet"/>
      </w:pPr>
      <w:r>
        <w:t>Aufnahme neuer Gesellschafter</w:t>
      </w:r>
    </w:p>
    <w:p>
      <w:pPr>
        <w:pStyle w:val="ListBullet"/>
      </w:pPr>
      <w:r>
        <w:t>Änderung des Gesellschaftsvertrags</w:t>
      </w:r>
    </w:p>
    <w:p>
      <w:pPr>
        <w:pStyle w:val="ListBullet"/>
      </w:pPr>
      <w:r>
        <w:t>Investitionen über 25.000 EUR</w:t>
      </w:r>
    </w:p>
    <w:p>
      <w:pPr>
        <w:pStyle w:val="ListBullet"/>
      </w:pPr>
      <w:r>
        <w:t>Abschluss oder Kündigung von Mietverträgen</w:t>
      </w:r>
    </w:p>
    <w:p>
      <w:pPr>
        <w:pStyle w:val="ListBullet"/>
      </w:pPr>
      <w:r>
        <w:t>Aufnahme von Fremdfinanzierung (Darlehen über 10.000 EUR)</w:t>
      </w:r>
    </w:p>
    <w:p>
      <w:pPr>
        <w:pStyle w:val="ListBullet"/>
      </w:pPr>
      <w:r>
        <w:t>Einleitung oder Rücknahme von Gerichtsverfahren über 20.000 EUR Streitwert</w:t>
      </w:r>
    </w:p>
    <w:p>
      <w:pPr>
        <w:pStyle w:val="ListBullet"/>
      </w:pPr>
      <w:r>
        <w:t>Einstellung oder Entlassung von Rechtsanwältinnen und Rechtsanwälten</w:t>
      </w:r>
    </w:p>
    <w:p>
      <w:pPr>
        <w:pStyle w:val="ListBullet"/>
      </w:pPr>
      <w:r>
        <w:t>Beschlüsse zur Grundsatzstrategie (Neugründung, Fusion, Liquidation)</w:t>
      </w:r>
    </w:p>
    <w:p/>
    <w:p>
      <w:pPr>
        <w:pStyle w:val="Heading2"/>
      </w:pPr>
      <w:r>
        <w:rPr>
          <w:rFonts w:ascii="Times New Roman" w:hAnsi="Times New Roman"/>
        </w:rPr>
        <w:t>3. Gesellschafterversammlungen</w:t>
      </w:r>
    </w:p>
    <w:p>
      <w:pPr>
        <w:pStyle w:val="Heading3"/>
      </w:pPr>
      <w:r>
        <w:rPr>
          <w:rFonts w:ascii="Times New Roman" w:hAnsi="Times New Roman"/>
        </w:rPr>
        <w:t>Ordentliche Gesellschafterversammlung</w:t>
      </w:r>
    </w:p>
    <w:p>
      <w:pPr>
        <w:jc w:val="left"/>
      </w:pPr>
      <w:r>
        <w:t>Gemäß § 49 GmbHG hält die EFS-GmbH einmal jährlich eine ordentliche Gesellschafterversammlung ab. Aufgaben:</w:t>
      </w:r>
    </w:p>
    <w:p>
      <w:pPr>
        <w:pStyle w:val="ListBullet"/>
      </w:pPr>
      <w:r>
        <w:t>Feststellung des Jahresabschlusses (§ 46 Nr. 1 GmbHG)</w:t>
      </w:r>
    </w:p>
    <w:p>
      <w:pPr>
        <w:pStyle w:val="ListBullet"/>
      </w:pPr>
      <w:r>
        <w:t>Verwendung des Ergebnisses (Ausschüttung vs. Thesaurierung)</w:t>
      </w:r>
    </w:p>
    <w:p>
      <w:pPr>
        <w:pStyle w:val="ListBullet"/>
      </w:pPr>
      <w:r>
        <w:t>Entlastung der Geschäftsführer</w:t>
      </w:r>
    </w:p>
    <w:p>
      <w:pPr>
        <w:pStyle w:val="ListBullet"/>
      </w:pPr>
      <w:r>
        <w:t>Neuwahl/Bestätigung Abschlussprüfer (falls erforderlich)</w:t>
      </w:r>
    </w:p>
    <w:p>
      <w:pPr>
        <w:jc w:val="left"/>
      </w:pPr>
      <w:r>
        <w:rPr>
          <w:b/>
        </w:rPr>
        <w:t>Termin:</w:t>
      </w:r>
      <w:r>
        <w:t xml:space="preserve"> jeweils im April des Folgejahres; erste ordentliche Gesellschafterversammlung: April 2027.</w:t>
      </w:r>
    </w:p>
    <w:p>
      <w:pPr>
        <w:pStyle w:val="Heading3"/>
      </w:pPr>
      <w:r>
        <w:rPr>
          <w:rFonts w:ascii="Times New Roman" w:hAnsi="Times New Roman"/>
        </w:rPr>
        <w:t>Außerordentliche Gesellschafterversammlung</w:t>
      </w:r>
    </w:p>
    <w:p>
      <w:pPr>
        <w:jc w:val="left"/>
      </w:pPr>
      <w:r>
        <w:t>Kann von jedem Gesellschafter einberufen werden. Frist: mindestens 2 Wochen.</w:t>
      </w:r>
    </w:p>
    <w:p/>
    <w:p>
      <w:pPr>
        <w:pStyle w:val="Heading2"/>
      </w:pPr>
      <w:r>
        <w:rPr>
          <w:rFonts w:ascii="Times New Roman" w:hAnsi="Times New Roman"/>
        </w:rPr>
        <w:t>4. Interessenkonflikte und Compliance</w:t>
      </w:r>
    </w:p>
    <w:p>
      <w:pPr>
        <w:pStyle w:val="Heading3"/>
      </w:pPr>
      <w:r>
        <w:rPr>
          <w:rFonts w:ascii="Times New Roman" w:hAnsi="Times New Roman"/>
        </w:rPr>
        <w:t>Mandatsannahme mit Eigeninteresse</w:t>
      </w:r>
    </w:p>
    <w:p>
      <w:pPr>
        <w:jc w:val="left"/>
      </w:pPr>
      <w:r>
        <w:t>Nimmt ein Gesellschafter ein Mandat an, das einen anderen Gesellschafter betrifft oder seinen Interessen widerspricht, hat er dies unverzüglich der Gesellschaft mitzuteilen (§ 43 GmbHG analog, § 43a BRAO). Er ist von der Entscheidung über dieses Mandat auszuschließen.</w:t>
      </w:r>
    </w:p>
    <w:p>
      <w:pPr>
        <w:pStyle w:val="Heading3"/>
      </w:pPr>
      <w:r>
        <w:rPr>
          <w:rFonts w:ascii="Times New Roman" w:hAnsi="Times New Roman"/>
        </w:rPr>
        <w:t>Eigengeschäfte</w:t>
      </w:r>
    </w:p>
    <w:p>
      <w:pPr>
        <w:jc w:val="left"/>
      </w:pPr>
      <w:r>
        <w:t>Eigengeschäfte der Geschäftsführer mit der Gesellschaft (z.B. Darlehen, Vermietung) bedürfen der Zustimmung der Gesellschafterversammlung (§ 181 BGB analog, §§ 35 Abs. 4, 46 Nr. 5 GmbHG).</w:t>
      </w:r>
    </w:p>
    <w:p>
      <w:pPr>
        <w:pStyle w:val="Heading3"/>
      </w:pPr>
      <w:r>
        <w:rPr>
          <w:rFonts w:ascii="Times New Roman" w:hAnsi="Times New Roman"/>
        </w:rPr>
        <w:t>Berichtspflicht</w:t>
      </w:r>
    </w:p>
    <w:p>
      <w:pPr>
        <w:jc w:val="left"/>
      </w:pPr>
      <w:r>
        <w:t>Jeder Geschäftsführer berichtet monatlich in der Kanzleikonferenz über seinen Ressortbereich. Finanzkennzahlen (Umsatz, offene Forderungen, Kosten) werden von Sandhof monatlich als Kurzbericht aufbereitet.</w:t>
      </w:r>
    </w:p>
    <w:p/>
    <w:p>
      <w:pPr>
        <w:pStyle w:val="Heading2"/>
      </w:pPr>
      <w:r>
        <w:rPr>
          <w:rFonts w:ascii="Times New Roman" w:hAnsi="Times New Roman"/>
        </w:rPr>
        <w:t>5. Vergütung der Geschäftsführer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Komponente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 (brutto)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Fälligkeit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Grundgehalt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110.000 EUR/Jahr (Eckermann, Friedrich) / 115.000 EUR (Sandhof)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 des Monats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Tantiemen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25 % des Jahresgrundgehalts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31.03. des Folgejahres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Pkw-Überlassung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Mittelklasse (Kostenwert bis 700 EUR/Mon.)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Sachbezug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bAV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Direktversicherung (max. § 3 Nr. 63 EStG)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Laufend</w:t>
            </w:r>
          </w:p>
        </w:tc>
      </w:tr>
    </w:tbl>
    <w:p>
      <w:pPr>
        <w:jc w:val="left"/>
      </w:pPr>
      <w:r>
        <w:t>Die Geschäftsführerverträge wurden am 28. März 2026 (Notartermin) unterzeichnet. Die Angemessenheit der Vergütung wurde von Steuerberater Kallenbrunner bestätigt (keine vGA-Gefahr bei aktuellem Umsatzansatz).</w:t>
      </w:r>
    </w:p>
    <w:p/>
    <w:p>
      <w:pPr>
        <w:pStyle w:val="Heading2"/>
      </w:pPr>
      <w:r>
        <w:rPr>
          <w:rFonts w:ascii="Times New Roman" w:hAnsi="Times New Roman"/>
        </w:rPr>
        <w:t>6. Haftung der Geschäftsführer</w:t>
      </w:r>
    </w:p>
    <w:p>
      <w:pPr>
        <w:jc w:val="left"/>
      </w:pPr>
      <w:r>
        <w:t>Gemäß § 43 GmbHG haben Geschäftsführer bei ihrer Tätigkeit die Sorgfalt eines ordentlichen Geschäftsmannes anzuwenden. Verletzungen dieser Pflicht begründen eine Schadensersatzpflicht gegenüber der Gesellschaft.</w:t>
      </w:r>
    </w:p>
    <w:p>
      <w:pPr>
        <w:jc w:val="left"/>
      </w:pPr>
      <w:r>
        <w:t>Für die spezifische anwaltliche Tätigkeit gilt § 59h Abs. 4 BRAO: Die persönliche Berufsverantwortlichkeit des handelnden Rechtsanwalts bleibt trotz GmbH-Konstruktion bestehen.</w:t>
      </w:r>
    </w:p>
    <w:p>
      <w:pPr>
        <w:jc w:val="left"/>
      </w:pPr>
      <w:r>
        <w:t>Die Berufshaftpflichtversicherung der Allianz (Aktenstück 05, 20) deckt auch Ansprüche gegen Geschäftsführer wegen fehlerhafter Berufsausübung ab.</w:t>
      </w:r>
    </w:p>
    <w:p/>
    <w:p>
      <w:pPr>
        <w:pStyle w:val="Heading2"/>
      </w:pPr>
      <w:r>
        <w:rPr>
          <w:rFonts w:ascii="Times New Roman" w:hAnsi="Times New Roman"/>
        </w:rPr>
        <w:t>7. Jahresabschluss und Offenlegung</w:t>
      </w:r>
    </w:p>
    <w:p>
      <w:pPr>
        <w:jc w:val="left"/>
      </w:pPr>
      <w:r>
        <w:t>Die EFS-GmbH ist als kleine GmbH (§ 267 Abs. 1 HGB, Bilanzsumme voraussichtlich unter 6 Mio. EUR, Umsatz unter 12 Mio. EUR) nur zur vereinfachten Offenlegung verpflichtet (§ 326 HGB): Einreichung der Bilanz beim Bundesanzeiger, keine P+V-Offenlegung erforderlich.</w:t>
      </w:r>
    </w:p>
    <w:p>
      <w:pPr>
        <w:jc w:val="left"/>
      </w:pPr>
      <w:r>
        <w:rPr>
          <w:b/>
        </w:rPr>
        <w:t>Abschlussprüfer:</w:t>
      </w:r>
      <w:r>
        <w:t xml:space="preserve"> Bei kleinen GmbHs ohne Prüfungspflicht (§ 316 HGB); freiwillige Prüfung nicht geplant.</w:t>
      </w:r>
    </w:p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GmbHG §§ 35, 43, 46, 49 (Geschäftsführung, Gesellschafterversammlung): dejure.org/gesetze/GmbHG</w:t>
      </w:r>
    </w:p>
    <w:p>
      <w:pPr>
        <w:pStyle w:val="ListBullet"/>
      </w:pPr>
      <w:r>
        <w:t>BRAO § 59h Abs. 4 (Geschäftsführerverantwortung RA-GmbH): dejure.org/gesetze/BRAO/59h</w:t>
      </w:r>
    </w:p>
    <w:p>
      <w:pPr>
        <w:pStyle w:val="ListBullet"/>
      </w:pPr>
      <w:r>
        <w:t>HGB §§ 267, 325, 326 (Rechnungslegung, Offenlegung): dejure.org/gesetze/HGB</w:t>
      </w:r>
    </w:p>
    <w:p>
      <w:pPr>
        <w:pStyle w:val="ListBullet"/>
      </w:pPr>
      <w:r>
        <w:t>BGB § 181 (Insich-Geschäft): dejure.org/gesetze/BGB/181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